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浙江省交通运输行业信用工作管理办法</w:t>
      </w:r>
    </w:p>
    <w:p>
      <w:pPr>
        <w:overflowPunct w:val="0"/>
        <w:spacing w:line="580" w:lineRule="exact"/>
        <w:jc w:val="center"/>
        <w:rPr>
          <w:rFonts w:hint="eastAsia" w:ascii="楷体_GB2312" w:eastAsia="楷体_GB2312"/>
          <w:szCs w:val="32"/>
        </w:rPr>
      </w:pPr>
      <w:bookmarkStart w:id="13" w:name="_GoBack"/>
      <w:r>
        <w:rPr>
          <w:rFonts w:hint="eastAsia" w:ascii="楷体_GB2312" w:eastAsia="楷体_GB2312"/>
          <w:szCs w:val="32"/>
        </w:rPr>
        <w:t>（试行）</w:t>
      </w:r>
    </w:p>
    <w:bookmarkEnd w:id="13"/>
    <w:p>
      <w:pPr>
        <w:overflowPunct w:val="0"/>
        <w:spacing w:line="580" w:lineRule="exact"/>
        <w:ind w:firstLine="640" w:firstLineChars="200"/>
        <w:rPr>
          <w:szCs w:val="32"/>
        </w:rPr>
      </w:pPr>
    </w:p>
    <w:p>
      <w:pPr>
        <w:overflowPunct w:val="0"/>
        <w:spacing w:line="580" w:lineRule="exact"/>
        <w:ind w:firstLine="640" w:firstLineChars="200"/>
        <w:rPr>
          <w:szCs w:val="32"/>
        </w:rPr>
      </w:pPr>
      <w:r>
        <w:rPr>
          <w:szCs w:val="32"/>
        </w:rPr>
        <w:t>为加强全省交通运输行业信用管理工作，推进交通运输信用体系建设，建立健全信用监管机制，构建守信激励、失信惩戒的营商环境，根据《国务院办公厅关于进一步完善失信约束制度构建诚信建设长效机制的指导意见》（国办发</w:t>
      </w:r>
      <w:r>
        <w:rPr>
          <w:rFonts w:hint="eastAsia" w:ascii="仿宋_GB2312"/>
          <w:szCs w:val="32"/>
        </w:rPr>
        <w:t>〔2020〕49</w:t>
      </w:r>
      <w:r>
        <w:rPr>
          <w:szCs w:val="32"/>
        </w:rPr>
        <w:t>号）</w:t>
      </w:r>
      <w:r>
        <w:rPr>
          <w:rFonts w:hint="eastAsia"/>
          <w:szCs w:val="32"/>
        </w:rPr>
        <w:t>、</w:t>
      </w:r>
      <w:r>
        <w:rPr>
          <w:szCs w:val="32"/>
        </w:rPr>
        <w:t>《浙江省公共信用信息管理条例》等相关规定，结合我省交通运输行业实际，制定本办法。</w:t>
      </w:r>
    </w:p>
    <w:p>
      <w:pPr>
        <w:overflowPunct w:val="0"/>
        <w:spacing w:line="580" w:lineRule="exact"/>
        <w:ind w:firstLine="640" w:firstLineChars="200"/>
        <w:rPr>
          <w:rFonts w:ascii="黑体" w:hAnsi="黑体" w:eastAsia="黑体"/>
          <w:szCs w:val="32"/>
        </w:rPr>
      </w:pPr>
      <w:r>
        <w:rPr>
          <w:rFonts w:ascii="黑体" w:hAnsi="黑体" w:eastAsia="黑体"/>
          <w:szCs w:val="32"/>
        </w:rPr>
        <w:t>一、总体要求</w:t>
      </w:r>
    </w:p>
    <w:p>
      <w:pPr>
        <w:overflowPunct w:val="0"/>
        <w:spacing w:line="580" w:lineRule="exact"/>
        <w:ind w:firstLine="640" w:firstLineChars="200"/>
        <w:rPr>
          <w:rFonts w:eastAsia="楷体_GB2312"/>
          <w:szCs w:val="32"/>
        </w:rPr>
      </w:pPr>
      <w:r>
        <w:rPr>
          <w:rFonts w:eastAsia="楷体_GB2312"/>
          <w:szCs w:val="32"/>
        </w:rPr>
        <w:t>（一）指导思想</w:t>
      </w:r>
    </w:p>
    <w:p>
      <w:pPr>
        <w:overflowPunct w:val="0"/>
        <w:spacing w:line="580" w:lineRule="exact"/>
        <w:ind w:firstLine="640" w:firstLineChars="200"/>
        <w:rPr>
          <w:szCs w:val="32"/>
        </w:rPr>
      </w:pPr>
      <w:r>
        <w:rPr>
          <w:szCs w:val="32"/>
        </w:rPr>
        <w:t>以习近平新时代中国特色社会主义思想为指导，贯彻新发展理念，聚焦高质量发展，紧扣治理现代化要求，依法依规夯实信用制度基础，加强信用信息归集共享，优化信用评价，推动构建以信用为基础的交通运输新型监管机制，为清廉交通建设和高水平交通强省建设提供信用支撑。</w:t>
      </w:r>
    </w:p>
    <w:p>
      <w:pPr>
        <w:overflowPunct w:val="0"/>
        <w:spacing w:line="580" w:lineRule="exact"/>
        <w:ind w:firstLine="640" w:firstLineChars="200"/>
        <w:rPr>
          <w:rFonts w:eastAsia="楷体_GB2312"/>
          <w:szCs w:val="32"/>
        </w:rPr>
      </w:pPr>
      <w:r>
        <w:rPr>
          <w:rFonts w:eastAsia="楷体_GB2312"/>
          <w:szCs w:val="32"/>
        </w:rPr>
        <w:t>（二）工作原则</w:t>
      </w:r>
    </w:p>
    <w:p>
      <w:pPr>
        <w:overflowPunct w:val="0"/>
        <w:spacing w:line="580" w:lineRule="exact"/>
        <w:ind w:firstLine="640" w:firstLineChars="200"/>
        <w:rPr>
          <w:b/>
          <w:szCs w:val="32"/>
        </w:rPr>
      </w:pPr>
      <w:r>
        <w:rPr>
          <w:szCs w:val="32"/>
        </w:rPr>
        <w:t>全省交通运输行业信用管理工作应当遵循客观、有效、公开、公正的原则，依法维护交通运输行业从业主体的合法权益。</w:t>
      </w:r>
    </w:p>
    <w:p>
      <w:pPr>
        <w:overflowPunct w:val="0"/>
        <w:spacing w:line="580" w:lineRule="exact"/>
        <w:ind w:firstLine="640" w:firstLineChars="200"/>
        <w:rPr>
          <w:rFonts w:eastAsia="楷体_GB2312"/>
          <w:szCs w:val="32"/>
        </w:rPr>
      </w:pPr>
      <w:r>
        <w:rPr>
          <w:rFonts w:eastAsia="楷体_GB2312"/>
          <w:szCs w:val="32"/>
        </w:rPr>
        <w:t>（三）适用范围</w:t>
      </w:r>
    </w:p>
    <w:p>
      <w:pPr>
        <w:overflowPunct w:val="0"/>
        <w:spacing w:line="580" w:lineRule="exact"/>
        <w:ind w:firstLine="640" w:firstLineChars="200"/>
        <w:rPr>
          <w:szCs w:val="32"/>
        </w:rPr>
      </w:pPr>
      <w:r>
        <w:rPr>
          <w:szCs w:val="32"/>
        </w:rPr>
        <w:t>本办法适用于全省交通运输行业从业企业（含个体工商户）和从业人员等从业主体的信用信息采集、归集、共享、评价和应用等管理工作。非在本省登记或者未取得本省从业资格的交通运输行业从业主体的信用管理工作，参照本办法执行。</w:t>
      </w:r>
    </w:p>
    <w:p>
      <w:pPr>
        <w:overflowPunct w:val="0"/>
        <w:spacing w:line="580" w:lineRule="exact"/>
        <w:ind w:firstLine="640" w:firstLineChars="200"/>
        <w:rPr>
          <w:rFonts w:eastAsia="楷体_GB2312"/>
          <w:szCs w:val="32"/>
        </w:rPr>
      </w:pPr>
      <w:r>
        <w:rPr>
          <w:rFonts w:eastAsia="楷体_GB2312"/>
          <w:szCs w:val="32"/>
        </w:rPr>
        <w:t>（四）职责分工</w:t>
      </w:r>
    </w:p>
    <w:p>
      <w:pPr>
        <w:overflowPunct w:val="0"/>
        <w:spacing w:line="580" w:lineRule="exact"/>
        <w:ind w:firstLine="640" w:firstLineChars="200"/>
        <w:rPr>
          <w:szCs w:val="32"/>
        </w:rPr>
      </w:pPr>
      <w:r>
        <w:rPr>
          <w:szCs w:val="32"/>
        </w:rPr>
        <w:t>全省交通运输行业信用管理工作，实行统一领导、分级负责。</w:t>
      </w:r>
    </w:p>
    <w:p>
      <w:pPr>
        <w:overflowPunct w:val="0"/>
        <w:spacing w:line="580" w:lineRule="exact"/>
        <w:ind w:firstLine="640" w:firstLineChars="200"/>
        <w:rPr>
          <w:szCs w:val="32"/>
        </w:rPr>
      </w:pPr>
      <w:r>
        <w:rPr>
          <w:szCs w:val="32"/>
        </w:rPr>
        <w:t>省交通运输厅负责组织指导、协调推进全省交通运输行业信用体系建设，按照相关工作规定履行相关职责。</w:t>
      </w:r>
    </w:p>
    <w:p>
      <w:pPr>
        <w:overflowPunct w:val="0"/>
        <w:spacing w:line="580" w:lineRule="exact"/>
        <w:ind w:firstLine="640" w:firstLineChars="200"/>
        <w:rPr>
          <w:szCs w:val="32"/>
        </w:rPr>
      </w:pPr>
      <w:r>
        <w:rPr>
          <w:szCs w:val="32"/>
        </w:rPr>
        <w:t>省公路与运输管理中心、省港航管理中心和省交通工程管理中心承担相关领域的信用体系建设，拟定职能范围内信用管理制度，指导、监督相关领域的信用管理工作，负责相关领域信用分析与监测工作。</w:t>
      </w:r>
    </w:p>
    <w:p>
      <w:pPr>
        <w:overflowPunct w:val="0"/>
        <w:spacing w:line="580" w:lineRule="exact"/>
        <w:ind w:firstLine="640" w:firstLineChars="200"/>
        <w:rPr>
          <w:szCs w:val="32"/>
        </w:rPr>
      </w:pPr>
      <w:r>
        <w:rPr>
          <w:szCs w:val="32"/>
        </w:rPr>
        <w:t>省交通运输信息中心负责全省交通运输信用综合管理服务系统（以下简称</w:t>
      </w:r>
      <w:r>
        <w:rPr>
          <w:rFonts w:hint="eastAsia"/>
          <w:szCs w:val="32"/>
        </w:rPr>
        <w:t>“</w:t>
      </w:r>
      <w:r>
        <w:rPr>
          <w:szCs w:val="32"/>
        </w:rPr>
        <w:t>省级信用综合管理系统</w:t>
      </w:r>
      <w:r>
        <w:rPr>
          <w:rFonts w:hint="eastAsia"/>
          <w:szCs w:val="32"/>
        </w:rPr>
        <w:t>”</w:t>
      </w:r>
      <w:r>
        <w:rPr>
          <w:szCs w:val="32"/>
        </w:rPr>
        <w:t>）的建设维护，负责信用数据归集、共享等技术支持保障工作。</w:t>
      </w:r>
    </w:p>
    <w:p>
      <w:pPr>
        <w:overflowPunct w:val="0"/>
        <w:spacing w:line="580" w:lineRule="exact"/>
        <w:ind w:firstLine="640" w:firstLineChars="200"/>
        <w:rPr>
          <w:szCs w:val="32"/>
        </w:rPr>
      </w:pPr>
      <w:r>
        <w:rPr>
          <w:szCs w:val="32"/>
        </w:rPr>
        <w:t>市、县</w:t>
      </w:r>
      <w:r>
        <w:rPr>
          <w:rFonts w:hint="eastAsia"/>
          <w:szCs w:val="32"/>
        </w:rPr>
        <w:t>级</w:t>
      </w:r>
      <w:r>
        <w:rPr>
          <w:szCs w:val="32"/>
        </w:rPr>
        <w:t>交通运输（港航）主管部门负责本行政区域内交通运输从业主体的信用信息采集、归集、共享、评价和应用等管理工作，</w:t>
      </w:r>
      <w:r>
        <w:rPr>
          <w:rFonts w:hint="eastAsia"/>
          <w:szCs w:val="32"/>
        </w:rPr>
        <w:t>具体工作可由</w:t>
      </w:r>
      <w:r>
        <w:rPr>
          <w:szCs w:val="32"/>
        </w:rPr>
        <w:t>其所属的职能部门</w:t>
      </w:r>
      <w:r>
        <w:rPr>
          <w:rFonts w:hint="eastAsia"/>
          <w:szCs w:val="32"/>
        </w:rPr>
        <w:t>承担。市、县分工</w:t>
      </w:r>
      <w:r>
        <w:rPr>
          <w:szCs w:val="32"/>
        </w:rPr>
        <w:t>由市级交通运输（港航）主管部门明确</w:t>
      </w:r>
      <w:r>
        <w:rPr>
          <w:rFonts w:hint="eastAsia"/>
          <w:szCs w:val="32"/>
        </w:rPr>
        <w:t>，</w:t>
      </w:r>
      <w:r>
        <w:rPr>
          <w:szCs w:val="32"/>
        </w:rPr>
        <w:t>其中评价由市级交通运输</w:t>
      </w:r>
      <w:r>
        <w:rPr>
          <w:rFonts w:hint="eastAsia"/>
          <w:szCs w:val="32"/>
        </w:rPr>
        <w:t>（港航）主管</w:t>
      </w:r>
      <w:r>
        <w:rPr>
          <w:szCs w:val="32"/>
        </w:rPr>
        <w:t>部门组织实施。</w:t>
      </w:r>
    </w:p>
    <w:p>
      <w:pPr>
        <w:overflowPunct w:val="0"/>
        <w:spacing w:line="580" w:lineRule="exact"/>
        <w:ind w:firstLine="640" w:firstLineChars="200"/>
        <w:rPr>
          <w:rFonts w:ascii="黑体" w:hAnsi="黑体" w:eastAsia="黑体"/>
          <w:szCs w:val="32"/>
        </w:rPr>
      </w:pPr>
      <w:r>
        <w:rPr>
          <w:rFonts w:ascii="黑体" w:hAnsi="黑体" w:eastAsia="黑体"/>
          <w:szCs w:val="32"/>
        </w:rPr>
        <w:t>二、信用信息归集和披露</w:t>
      </w:r>
    </w:p>
    <w:p>
      <w:pPr>
        <w:overflowPunct w:val="0"/>
        <w:spacing w:line="580" w:lineRule="exact"/>
        <w:ind w:firstLine="640" w:firstLineChars="200"/>
        <w:rPr>
          <w:szCs w:val="32"/>
        </w:rPr>
      </w:pPr>
      <w:r>
        <w:rPr>
          <w:rFonts w:eastAsia="楷体_GB2312"/>
          <w:szCs w:val="32"/>
        </w:rPr>
        <w:t>（一）加强信用信息内容管理。</w:t>
      </w:r>
      <w:r>
        <w:rPr>
          <w:szCs w:val="32"/>
        </w:rPr>
        <w:t>交通运输公共信用信息是指</w:t>
      </w:r>
      <w:r>
        <w:rPr>
          <w:rFonts w:hint="eastAsia"/>
          <w:szCs w:val="32"/>
        </w:rPr>
        <w:t>全省各级交通运输</w:t>
      </w:r>
      <w:r>
        <w:rPr>
          <w:szCs w:val="32"/>
        </w:rPr>
        <w:t>（港航）主管部门及其所属的职能部门</w:t>
      </w:r>
      <w:r>
        <w:rPr>
          <w:rFonts w:hint="eastAsia"/>
          <w:szCs w:val="32"/>
        </w:rPr>
        <w:t>（以下统称为</w:t>
      </w:r>
      <w:r>
        <w:rPr>
          <w:szCs w:val="32"/>
        </w:rPr>
        <w:t>各级交通运输部门</w:t>
      </w:r>
      <w:r>
        <w:rPr>
          <w:rFonts w:hint="eastAsia"/>
          <w:szCs w:val="32"/>
        </w:rPr>
        <w:t>）</w:t>
      </w:r>
      <w:r>
        <w:rPr>
          <w:szCs w:val="32"/>
        </w:rPr>
        <w:t>在依法履行职责过程中制作或者获取的，能够反映从业主体信用状况的数据和资料，主要包括基础信息、不良信息、守信信息。</w:t>
      </w:r>
    </w:p>
    <w:p>
      <w:pPr>
        <w:overflowPunct w:val="0"/>
        <w:spacing w:line="580" w:lineRule="exact"/>
        <w:ind w:firstLine="640" w:firstLineChars="200"/>
        <w:rPr>
          <w:rFonts w:hint="eastAsia" w:ascii="仿宋_GB2312"/>
          <w:szCs w:val="32"/>
        </w:rPr>
      </w:pPr>
      <w:r>
        <w:rPr>
          <w:rFonts w:hint="eastAsia" w:ascii="仿宋_GB2312"/>
          <w:szCs w:val="32"/>
        </w:rPr>
        <w:t>1.</w:t>
      </w:r>
      <w:r>
        <w:rPr>
          <w:rFonts w:hint="eastAsia" w:ascii="仿宋_GB2312"/>
          <w:spacing w:val="-4"/>
          <w:szCs w:val="32"/>
        </w:rPr>
        <w:t>基础信息主要包括：登记注册信息、资质信息，</w:t>
      </w:r>
      <w:bookmarkStart w:id="0" w:name="_Hlk25582113"/>
      <w:r>
        <w:rPr>
          <w:rFonts w:hint="eastAsia" w:ascii="仿宋_GB2312"/>
          <w:spacing w:val="-4"/>
          <w:szCs w:val="32"/>
        </w:rPr>
        <w:t>建设项目信息、职业资格信息以及车辆、船舶等运输工具</w:t>
      </w:r>
      <w:bookmarkEnd w:id="0"/>
      <w:r>
        <w:rPr>
          <w:rFonts w:hint="eastAsia" w:ascii="仿宋_GB2312"/>
          <w:spacing w:val="-4"/>
          <w:szCs w:val="32"/>
        </w:rPr>
        <w:t>信息等从业主体的基础信息，许可信息以及其他与从业主体基础状况有关的信息。</w:t>
      </w:r>
    </w:p>
    <w:p>
      <w:pPr>
        <w:overflowPunct w:val="0"/>
        <w:spacing w:line="580" w:lineRule="exact"/>
        <w:ind w:firstLine="640" w:firstLineChars="200"/>
        <w:rPr>
          <w:szCs w:val="32"/>
        </w:rPr>
      </w:pPr>
      <w:r>
        <w:rPr>
          <w:rFonts w:hint="eastAsia" w:ascii="仿宋_GB2312"/>
          <w:szCs w:val="32"/>
        </w:rPr>
        <w:t>2.不良信息主要包括：以欺骗、贿赂等不正当手段取得交通运输行政许可、行政确认、行政给付、行政奖励的信息；因违反交通运输法律法规，在法定期限内未提起行政复议、行政诉讼，或者经行政复议、行政诉讼最终维持原决定的行政处罚信息（适用简易程序作出的除外）；经司法生效判决认定构成犯罪的信息；不履行交通运输行政决定而被依法行政强制执行的信息；不履行</w:t>
      </w:r>
      <w:r>
        <w:rPr>
          <w:szCs w:val="32"/>
        </w:rPr>
        <w:t>判决、裁定等生效法律文书的信息；根据国家和省有关标准或规定认定的严重失信行为和黑名单信息；交通运输安全责任事故处理等信息以及其他经依法依规认定的与信用状况有关的不良行为信息。</w:t>
      </w:r>
    </w:p>
    <w:p>
      <w:pPr>
        <w:overflowPunct w:val="0"/>
        <w:spacing w:line="580" w:lineRule="exact"/>
        <w:ind w:firstLine="640" w:firstLineChars="200"/>
        <w:rPr>
          <w:szCs w:val="32"/>
        </w:rPr>
      </w:pPr>
      <w:r>
        <w:rPr>
          <w:rFonts w:eastAsia="楷体_GB2312"/>
          <w:szCs w:val="32"/>
        </w:rPr>
        <w:t>（二）实行信用信息目录化管理。</w:t>
      </w:r>
      <w:r>
        <w:rPr>
          <w:szCs w:val="32"/>
        </w:rPr>
        <w:t>根据国家和省有关信用信息目录要求，结合我省交通运输信用管理工作实际，省交通运输厅编制并定期更新全省交通运输公共信用信息目录（以下简称</w:t>
      </w:r>
      <w:r>
        <w:rPr>
          <w:rFonts w:hint="eastAsia"/>
          <w:szCs w:val="32"/>
        </w:rPr>
        <w:t>“</w:t>
      </w:r>
      <w:r>
        <w:rPr>
          <w:szCs w:val="32"/>
        </w:rPr>
        <w:t>信用信息目录</w:t>
      </w:r>
      <w:r>
        <w:rPr>
          <w:rFonts w:hint="eastAsia"/>
          <w:szCs w:val="32"/>
        </w:rPr>
        <w:t>”</w:t>
      </w:r>
      <w:r>
        <w:rPr>
          <w:szCs w:val="32"/>
        </w:rPr>
        <w:t>）</w:t>
      </w:r>
      <w:r>
        <w:rPr>
          <w:rFonts w:hint="eastAsia"/>
          <w:szCs w:val="32"/>
        </w:rPr>
        <w:t>，</w:t>
      </w:r>
      <w:r>
        <w:rPr>
          <w:szCs w:val="32"/>
        </w:rPr>
        <w:t>明确各领域需要记入信用档案的公共信用信息具体项目。</w:t>
      </w:r>
    </w:p>
    <w:p>
      <w:pPr>
        <w:overflowPunct w:val="0"/>
        <w:spacing w:line="580" w:lineRule="exact"/>
        <w:ind w:firstLine="640" w:firstLineChars="200"/>
        <w:rPr>
          <w:szCs w:val="32"/>
        </w:rPr>
      </w:pPr>
      <w:r>
        <w:rPr>
          <w:szCs w:val="32"/>
        </w:rPr>
        <w:t>信用信息目录是全省交通运输行业信用信息记录和使用的重要依据。各级交通运输部门应根据信用信息目录，依据</w:t>
      </w:r>
      <w:r>
        <w:rPr>
          <w:rFonts w:hint="eastAsia"/>
          <w:szCs w:val="32"/>
        </w:rPr>
        <w:t>“</w:t>
      </w:r>
      <w:r>
        <w:rPr>
          <w:szCs w:val="32"/>
        </w:rPr>
        <w:t>谁提供、谁负责</w:t>
      </w:r>
      <w:r>
        <w:rPr>
          <w:rFonts w:hint="eastAsia"/>
          <w:szCs w:val="32"/>
        </w:rPr>
        <w:t>”</w:t>
      </w:r>
      <w:r>
        <w:rPr>
          <w:szCs w:val="32"/>
        </w:rPr>
        <w:t>原则，及时、准确、规范、完整地记录和采集从业主体的信用信息。</w:t>
      </w:r>
    </w:p>
    <w:p>
      <w:pPr>
        <w:shd w:val="clear" w:color="auto" w:fill="FFFFFF"/>
        <w:overflowPunct w:val="0"/>
        <w:spacing w:line="580" w:lineRule="exact"/>
        <w:ind w:firstLine="640" w:firstLineChars="200"/>
        <w:rPr>
          <w:szCs w:val="32"/>
        </w:rPr>
      </w:pPr>
      <w:r>
        <w:rPr>
          <w:rFonts w:eastAsia="楷体_GB2312"/>
          <w:szCs w:val="32"/>
        </w:rPr>
        <w:t>（三）加强信用信息归集系统支撑。</w:t>
      </w:r>
      <w:r>
        <w:rPr>
          <w:szCs w:val="32"/>
        </w:rPr>
        <w:t>省级信用综合管理系统，是全省交通运输信用信息查询和交互共享的统一工作平台。全省交通运输行业信用信息须及时准确归集至该系统。信用信息数据可通过主动采集、接口对接、系统推送和手工填报等方式采集。信用信息已有业务系统支撑的，应通过系统自动归集；无系统支撑的，应在信息产生后及时登录省级信用综合管理系统填报录入，并加强校对和审核。</w:t>
      </w:r>
    </w:p>
    <w:p>
      <w:pPr>
        <w:shd w:val="clear" w:color="auto" w:fill="FFFFFF"/>
        <w:overflowPunct w:val="0"/>
        <w:spacing w:line="580" w:lineRule="exact"/>
        <w:ind w:firstLine="640" w:firstLineChars="200"/>
        <w:rPr>
          <w:szCs w:val="32"/>
        </w:rPr>
      </w:pPr>
      <w:r>
        <w:rPr>
          <w:rFonts w:eastAsia="楷体_GB2312"/>
          <w:szCs w:val="32"/>
        </w:rPr>
        <w:t>（四）</w:t>
      </w:r>
      <w:r>
        <w:rPr>
          <w:rFonts w:eastAsia="楷体_GB2312"/>
          <w:spacing w:val="2"/>
          <w:szCs w:val="32"/>
        </w:rPr>
        <w:t>加强信用信息保存和披露管理。</w:t>
      </w:r>
      <w:r>
        <w:rPr>
          <w:spacing w:val="2"/>
          <w:szCs w:val="32"/>
        </w:rPr>
        <w:t>全省交通运输公共信用信息通过公开、政务共享和查询的方式披露，除法律法规规章或其他有关规定不宜公开的情形外，应当尽可能通过公开方式披露。</w:t>
      </w:r>
    </w:p>
    <w:p>
      <w:pPr>
        <w:shd w:val="clear" w:color="auto" w:fill="FFFFFF"/>
        <w:overflowPunct w:val="0"/>
        <w:spacing w:line="580" w:lineRule="exact"/>
        <w:ind w:firstLine="640" w:firstLineChars="200"/>
        <w:rPr>
          <w:rFonts w:hint="eastAsia" w:ascii="仿宋_GB2312"/>
          <w:szCs w:val="32"/>
        </w:rPr>
      </w:pPr>
      <w:r>
        <w:rPr>
          <w:rFonts w:hint="eastAsia" w:ascii="仿宋_GB2312"/>
          <w:szCs w:val="32"/>
        </w:rPr>
        <w:t>1.从业主体基础信息的保存与披露期限为长期。</w:t>
      </w:r>
    </w:p>
    <w:p>
      <w:pPr>
        <w:shd w:val="clear" w:color="auto" w:fill="FFFFFF"/>
        <w:overflowPunct w:val="0"/>
        <w:spacing w:line="580" w:lineRule="exact"/>
        <w:ind w:firstLine="640" w:firstLineChars="200"/>
        <w:rPr>
          <w:rFonts w:hint="eastAsia" w:ascii="仿宋_GB2312"/>
          <w:szCs w:val="32"/>
        </w:rPr>
      </w:pPr>
      <w:r>
        <w:rPr>
          <w:rFonts w:hint="eastAsia" w:ascii="仿宋_GB2312"/>
          <w:szCs w:val="32"/>
        </w:rPr>
        <w:t>2.不良信息的保存与披露期限为5年（自不良行为或者事件认定之日起计算）。信息主体被列入严重失信名单，其不良信息保存和披露期限届满时尚未被移出严重失信名单的，不良信息保存和披露期限延至被移出严重失信名单之日。</w:t>
      </w:r>
    </w:p>
    <w:p>
      <w:pPr>
        <w:shd w:val="clear" w:color="auto" w:fill="FFFFFF"/>
        <w:overflowPunct w:val="0"/>
        <w:spacing w:line="580" w:lineRule="exact"/>
        <w:ind w:firstLine="640" w:firstLineChars="200"/>
        <w:rPr>
          <w:rFonts w:hint="eastAsia" w:ascii="仿宋_GB2312"/>
          <w:szCs w:val="32"/>
        </w:rPr>
      </w:pPr>
      <w:r>
        <w:rPr>
          <w:rFonts w:hint="eastAsia" w:ascii="仿宋_GB2312"/>
          <w:szCs w:val="32"/>
        </w:rPr>
        <w:t>3.表彰荣誉类信息的保存和披露期限为2年，有明确期限的与其一致。</w:t>
      </w:r>
    </w:p>
    <w:p>
      <w:pPr>
        <w:shd w:val="clear" w:color="auto" w:fill="FFFFFF"/>
        <w:overflowPunct w:val="0"/>
        <w:spacing w:line="580" w:lineRule="exact"/>
        <w:ind w:firstLine="640" w:firstLineChars="200"/>
        <w:rPr>
          <w:rFonts w:hint="eastAsia" w:ascii="仿宋_GB2312"/>
          <w:szCs w:val="32"/>
          <w:u w:val="single"/>
        </w:rPr>
      </w:pPr>
      <w:r>
        <w:rPr>
          <w:rFonts w:hint="eastAsia" w:ascii="仿宋_GB2312"/>
          <w:szCs w:val="32"/>
        </w:rPr>
        <w:t>法律法规规章和国家有关规定对保存和披露期限另有规定的，从其规定。信息保存和披露期限届满后不再纳入交通运输行业信用评价。</w:t>
      </w:r>
    </w:p>
    <w:p>
      <w:pPr>
        <w:overflowPunct w:val="0"/>
        <w:spacing w:line="580" w:lineRule="exact"/>
        <w:ind w:firstLine="640" w:firstLineChars="200"/>
        <w:rPr>
          <w:rFonts w:ascii="黑体" w:hAnsi="黑体" w:eastAsia="黑体"/>
          <w:szCs w:val="32"/>
        </w:rPr>
      </w:pPr>
      <w:r>
        <w:rPr>
          <w:rFonts w:ascii="黑体" w:hAnsi="黑体" w:eastAsia="黑体"/>
          <w:szCs w:val="32"/>
        </w:rPr>
        <w:t>三、信用评价及应用</w:t>
      </w:r>
    </w:p>
    <w:p>
      <w:pPr>
        <w:overflowPunct w:val="0"/>
        <w:spacing w:line="580" w:lineRule="exact"/>
        <w:ind w:firstLine="640" w:firstLineChars="200"/>
        <w:rPr>
          <w:szCs w:val="32"/>
        </w:rPr>
      </w:pPr>
      <w:r>
        <w:rPr>
          <w:szCs w:val="32"/>
        </w:rPr>
        <w:t>各级交通运输部门应根据我省交通运输行业不同领域信用评价的办法、指标和程序，依据职责对从业主体进行信用评价，确定信用等级，并按照</w:t>
      </w:r>
      <w:r>
        <w:rPr>
          <w:rFonts w:hint="eastAsia"/>
          <w:szCs w:val="32"/>
        </w:rPr>
        <w:t>“</w:t>
      </w:r>
      <w:r>
        <w:rPr>
          <w:szCs w:val="32"/>
        </w:rPr>
        <w:t>谁评价、谁公开</w:t>
      </w:r>
      <w:r>
        <w:rPr>
          <w:rFonts w:hint="eastAsia"/>
          <w:szCs w:val="32"/>
        </w:rPr>
        <w:t>”</w:t>
      </w:r>
      <w:r>
        <w:rPr>
          <w:szCs w:val="32"/>
        </w:rPr>
        <w:t>原则向社会公布。</w:t>
      </w:r>
    </w:p>
    <w:p>
      <w:pPr>
        <w:overflowPunct w:val="0"/>
        <w:spacing w:line="580" w:lineRule="exact"/>
        <w:ind w:firstLine="640" w:firstLineChars="200"/>
        <w:rPr>
          <w:szCs w:val="32"/>
        </w:rPr>
      </w:pPr>
      <w:r>
        <w:rPr>
          <w:rFonts w:eastAsia="楷体_GB2312"/>
          <w:szCs w:val="32"/>
        </w:rPr>
        <w:t>（一）科学制定评价指标体系。</w:t>
      </w:r>
      <w:r>
        <w:rPr>
          <w:szCs w:val="32"/>
        </w:rPr>
        <w:t>信用评价应明确具体的评价指标、内容及计算方法、权重、周期，并依法依规向社会公开。信用评价指标体系、计分规则根据国家、省有关信用政策及各领域信用工作实际制定，并动态调整。</w:t>
      </w:r>
    </w:p>
    <w:p>
      <w:pPr>
        <w:overflowPunct w:val="0"/>
        <w:snapToGrid w:val="0"/>
        <w:spacing w:line="580" w:lineRule="exact"/>
        <w:ind w:firstLine="640" w:firstLineChars="200"/>
        <w:rPr>
          <w:szCs w:val="32"/>
        </w:rPr>
      </w:pPr>
      <w:r>
        <w:rPr>
          <w:rFonts w:eastAsia="楷体_GB2312"/>
          <w:szCs w:val="32"/>
        </w:rPr>
        <w:t>（二）开展信用等级评价。</w:t>
      </w:r>
      <w:r>
        <w:rPr>
          <w:szCs w:val="32"/>
        </w:rPr>
        <w:t>全省交通运输行业信用评价原则上实行千分制。从业企业信用分为</w:t>
      </w:r>
      <w:r>
        <w:rPr>
          <w:rFonts w:hint="eastAsia" w:ascii="仿宋_GB2312"/>
          <w:szCs w:val="32"/>
        </w:rPr>
        <w:t>AA、A、B、C、D</w:t>
      </w:r>
      <w:r>
        <w:rPr>
          <w:szCs w:val="32"/>
        </w:rPr>
        <w:t>五个等级，分别对应优秀、良好、中等、较差、差。从业企业和从业人员的具体信用等级评价规定根据各领域实际制定。</w:t>
      </w:r>
    </w:p>
    <w:p>
      <w:pPr>
        <w:overflowPunct w:val="0"/>
        <w:spacing w:line="580" w:lineRule="exact"/>
        <w:ind w:firstLine="640" w:firstLineChars="200"/>
        <w:rPr>
          <w:szCs w:val="32"/>
        </w:rPr>
      </w:pPr>
      <w:r>
        <w:rPr>
          <w:rFonts w:eastAsia="楷体_GB2312"/>
          <w:szCs w:val="32"/>
        </w:rPr>
        <w:t>（三）逐步实行动态评价。</w:t>
      </w:r>
      <w:r>
        <w:rPr>
          <w:szCs w:val="32"/>
        </w:rPr>
        <w:t>全省交通运输行业应逐步实行动态信用评价。动态信用评价是指信用主体相关信息根据有关规定实时汇集、动态计分，并形成该主体信用总分和信用等级，实时公布。交通运输领域实行定期评价的，信用评价等级应在浙江信用交通网站公示</w:t>
      </w:r>
      <w:r>
        <w:rPr>
          <w:rFonts w:hint="eastAsia" w:ascii="仿宋_GB2312"/>
          <w:szCs w:val="32"/>
        </w:rPr>
        <w:t>10</w:t>
      </w:r>
      <w:r>
        <w:rPr>
          <w:szCs w:val="32"/>
        </w:rPr>
        <w:t>个工作日，无异议后认定公布。</w:t>
      </w:r>
    </w:p>
    <w:p>
      <w:pPr>
        <w:overflowPunct w:val="0"/>
        <w:spacing w:line="580" w:lineRule="exact"/>
        <w:ind w:firstLine="640" w:firstLineChars="200"/>
        <w:rPr>
          <w:szCs w:val="32"/>
        </w:rPr>
      </w:pPr>
      <w:r>
        <w:rPr>
          <w:rFonts w:eastAsia="楷体_GB2312"/>
          <w:szCs w:val="32"/>
        </w:rPr>
        <w:t>（四）加强信用评价结果应用。</w:t>
      </w:r>
      <w:r>
        <w:rPr>
          <w:szCs w:val="32"/>
        </w:rPr>
        <w:t>各级交通运输部门在日常监管、行政许可、资质等级评定、政府采购、招标投标、资金扶持、表彰奖励等工作中，应当依法查询从业主体的信用信息，加强信用评价结果应用，依法依规采取激励、优惠、便利或者加强监管等措施。推动将信用评价结果信息作为交通运输轻微违法行为告知承诺等工作的参考依据。</w:t>
      </w:r>
    </w:p>
    <w:p>
      <w:pPr>
        <w:overflowPunct w:val="0"/>
        <w:spacing w:line="580" w:lineRule="exact"/>
        <w:ind w:firstLine="640" w:firstLineChars="200"/>
        <w:rPr>
          <w:szCs w:val="32"/>
        </w:rPr>
      </w:pPr>
      <w:r>
        <w:rPr>
          <w:rFonts w:eastAsia="楷体_GB2312"/>
          <w:szCs w:val="32"/>
        </w:rPr>
        <w:t>（五）加强事前信用监管。</w:t>
      </w:r>
      <w:r>
        <w:rPr>
          <w:szCs w:val="32"/>
        </w:rPr>
        <w:t>各级交通运输部门在行政审批中应根据信用记录或信用报告，对符合条件的从业主体依法依规实行告知承诺、优先办理、容缺受理等措施，对失信主体依法依规采取从严审查、限制准入等措施。</w:t>
      </w:r>
    </w:p>
    <w:p>
      <w:pPr>
        <w:overflowPunct w:val="0"/>
        <w:spacing w:line="580" w:lineRule="exact"/>
        <w:ind w:firstLine="640" w:firstLineChars="200"/>
        <w:rPr>
          <w:szCs w:val="32"/>
        </w:rPr>
      </w:pPr>
      <w:r>
        <w:rPr>
          <w:rFonts w:eastAsia="楷体_GB2312"/>
          <w:szCs w:val="32"/>
        </w:rPr>
        <w:t>（六）强化信用分级分类监管。</w:t>
      </w:r>
      <w:r>
        <w:rPr>
          <w:szCs w:val="32"/>
        </w:rPr>
        <w:t>各级交通运输部门应将企业信用评价结果信息作为开展双随机抽查的重要依据，针对不同风</w:t>
      </w:r>
      <w:r>
        <w:rPr>
          <w:spacing w:val="-6"/>
          <w:szCs w:val="32"/>
        </w:rPr>
        <w:t>险等级、信用水平的检查对象采取差异化分类监管措施。对信用等级</w:t>
      </w:r>
      <w:r>
        <w:rPr>
          <w:rFonts w:hint="eastAsia" w:ascii="仿宋_GB2312"/>
          <w:spacing w:val="-6"/>
          <w:szCs w:val="32"/>
        </w:rPr>
        <w:t>为AA、A级的企业可合理降低抽查比例，适当减少监管频次；对信用等级为C、D的</w:t>
      </w:r>
      <w:r>
        <w:rPr>
          <w:spacing w:val="-6"/>
          <w:szCs w:val="32"/>
        </w:rPr>
        <w:t>企业可合理提高抽查比例，适当增加监管频次。信用分级分类监管具体细则根据各领域业务实际制定。</w:t>
      </w:r>
    </w:p>
    <w:p>
      <w:pPr>
        <w:overflowPunct w:val="0"/>
        <w:spacing w:line="580" w:lineRule="exact"/>
        <w:ind w:firstLine="640" w:firstLineChars="200"/>
        <w:rPr>
          <w:szCs w:val="32"/>
        </w:rPr>
      </w:pPr>
      <w:r>
        <w:rPr>
          <w:rFonts w:eastAsia="楷体_GB2312"/>
          <w:szCs w:val="32"/>
        </w:rPr>
        <w:t>（七）推进信用联合奖惩。</w:t>
      </w:r>
      <w:r>
        <w:rPr>
          <w:szCs w:val="32"/>
        </w:rPr>
        <w:t>省交通运输厅建立健全交通运输行业内部以及与公安等跨部门、跨领域的信用信息共享互通和联合奖惩机制，推动广泛应用交通运输信用评价结果。各级交通运输部门应依法依规实施联合奖惩，发挥协同效应。</w:t>
      </w:r>
    </w:p>
    <w:p>
      <w:pPr>
        <w:overflowPunct w:val="0"/>
        <w:spacing w:line="580" w:lineRule="exact"/>
        <w:ind w:firstLine="640" w:firstLineChars="200"/>
        <w:rPr>
          <w:rFonts w:ascii="黑体" w:hAnsi="黑体" w:eastAsia="黑体"/>
          <w:szCs w:val="32"/>
        </w:rPr>
      </w:pPr>
      <w:r>
        <w:rPr>
          <w:rFonts w:ascii="黑体" w:hAnsi="黑体" w:eastAsia="黑体"/>
          <w:szCs w:val="32"/>
        </w:rPr>
        <w:t>四、红黑名单管理</w:t>
      </w:r>
    </w:p>
    <w:p>
      <w:pPr>
        <w:overflowPunct w:val="0"/>
        <w:autoSpaceDE w:val="0"/>
        <w:adjustRightInd w:val="0"/>
        <w:spacing w:line="580" w:lineRule="exact"/>
        <w:ind w:firstLine="640" w:firstLineChars="200"/>
        <w:rPr>
          <w:rFonts w:hint="eastAsia" w:eastAsia="楷体_GB2312"/>
          <w:szCs w:val="32"/>
        </w:rPr>
      </w:pPr>
      <w:r>
        <w:rPr>
          <w:rFonts w:eastAsia="楷体_GB2312"/>
          <w:szCs w:val="32"/>
        </w:rPr>
        <w:t>（一）依法依规认定红黑名单</w:t>
      </w:r>
    </w:p>
    <w:p>
      <w:pPr>
        <w:overflowPunct w:val="0"/>
        <w:autoSpaceDE w:val="0"/>
        <w:adjustRightInd w:val="0"/>
        <w:spacing w:line="580" w:lineRule="exact"/>
        <w:ind w:firstLine="640" w:firstLineChars="200"/>
        <w:rPr>
          <w:szCs w:val="32"/>
        </w:rPr>
      </w:pPr>
      <w:r>
        <w:rPr>
          <w:szCs w:val="32"/>
        </w:rPr>
        <w:t>本办法的</w:t>
      </w:r>
      <w:r>
        <w:rPr>
          <w:rFonts w:hint="eastAsia"/>
          <w:szCs w:val="32"/>
        </w:rPr>
        <w:t>“</w:t>
      </w:r>
      <w:r>
        <w:rPr>
          <w:szCs w:val="32"/>
        </w:rPr>
        <w:t>红黑名单</w:t>
      </w:r>
      <w:r>
        <w:rPr>
          <w:rFonts w:hint="eastAsia"/>
          <w:szCs w:val="32"/>
        </w:rPr>
        <w:t>”</w:t>
      </w:r>
      <w:r>
        <w:rPr>
          <w:szCs w:val="32"/>
        </w:rPr>
        <w:t>，是指交通运输守信典型名单（以下简称</w:t>
      </w:r>
      <w:r>
        <w:rPr>
          <w:rFonts w:hint="eastAsia"/>
          <w:szCs w:val="32"/>
        </w:rPr>
        <w:t>“</w:t>
      </w:r>
      <w:r>
        <w:rPr>
          <w:szCs w:val="32"/>
        </w:rPr>
        <w:t>红名单</w:t>
      </w:r>
      <w:r>
        <w:rPr>
          <w:rFonts w:hint="eastAsia"/>
          <w:szCs w:val="32"/>
        </w:rPr>
        <w:t>”</w:t>
      </w:r>
      <w:r>
        <w:rPr>
          <w:szCs w:val="32"/>
        </w:rPr>
        <w:t>）和严重失信名单（以下简称</w:t>
      </w:r>
      <w:r>
        <w:rPr>
          <w:rFonts w:hint="eastAsia"/>
          <w:szCs w:val="32"/>
        </w:rPr>
        <w:t>“</w:t>
      </w:r>
      <w:r>
        <w:rPr>
          <w:szCs w:val="32"/>
        </w:rPr>
        <w:t>黑名单</w:t>
      </w:r>
      <w:r>
        <w:rPr>
          <w:rFonts w:hint="eastAsia"/>
          <w:szCs w:val="32"/>
        </w:rPr>
        <w:t>”</w:t>
      </w:r>
      <w:r>
        <w:rPr>
          <w:szCs w:val="32"/>
        </w:rPr>
        <w:t>）。各级交通运输（港航）主管部门应严格按照法律法规规章和《国务院办公厅关于进一步完善失信约束制度构建诚信建设长效机制的指导意见》（国办</w:t>
      </w:r>
      <w:r>
        <w:rPr>
          <w:rFonts w:hint="eastAsia" w:ascii="仿宋_GB2312"/>
          <w:szCs w:val="32"/>
        </w:rPr>
        <w:t>发〔2020〕49号</w:t>
      </w:r>
      <w:r>
        <w:rPr>
          <w:szCs w:val="32"/>
        </w:rPr>
        <w:t>）等有关规定，依法依规开展红黑名单认定工作。</w:t>
      </w:r>
    </w:p>
    <w:p>
      <w:pPr>
        <w:overflowPunct w:val="0"/>
        <w:adjustRightInd w:val="0"/>
        <w:spacing w:line="580" w:lineRule="exact"/>
        <w:ind w:firstLine="640" w:firstLineChars="200"/>
        <w:rPr>
          <w:rFonts w:hint="eastAsia" w:ascii="仿宋_GB2312"/>
          <w:szCs w:val="32"/>
        </w:rPr>
      </w:pPr>
      <w:r>
        <w:rPr>
          <w:rFonts w:hint="eastAsia" w:ascii="仿宋_GB2312"/>
          <w:szCs w:val="32"/>
        </w:rPr>
        <w:t>1.红名单的数据来源主要包括：本省交通运输部门实施信用评价形成的长期优秀的信用信息；获得省级以上人民政府及其部门授予的表彰荣誉信息以及其他可以作为红名单认定数据来源的信息。</w:t>
      </w:r>
    </w:p>
    <w:p>
      <w:pPr>
        <w:overflowPunct w:val="0"/>
        <w:adjustRightInd w:val="0"/>
        <w:spacing w:line="580" w:lineRule="exact"/>
        <w:ind w:firstLine="640" w:firstLineChars="200"/>
        <w:rPr>
          <w:rFonts w:hint="eastAsia" w:ascii="仿宋_GB2312"/>
          <w:szCs w:val="32"/>
        </w:rPr>
      </w:pPr>
      <w:r>
        <w:rPr>
          <w:rFonts w:hint="eastAsia" w:ascii="仿宋_GB2312"/>
          <w:szCs w:val="32"/>
        </w:rPr>
        <w:t>2.黑名单的数据来源主要包括：经</w:t>
      </w:r>
      <w:r>
        <w:rPr>
          <w:rFonts w:hint="eastAsia" w:ascii="仿宋_GB2312" w:hAnsi="仿宋_GB2312"/>
          <w:szCs w:val="32"/>
        </w:rPr>
        <w:t>司法生效判决认定构成交通运输犯罪的信息；</w:t>
      </w:r>
      <w:r>
        <w:rPr>
          <w:rFonts w:hint="eastAsia" w:ascii="仿宋_GB2312"/>
          <w:szCs w:val="32"/>
        </w:rPr>
        <w:t>交通运输行政许可、行政处罚、行政强制、行政确认、行政检查、行政征收、行政给付等方面反映主体失信状况的信息；交通运输部门作出行政决定后，有履行能力但拒不履行判决、裁定等生效法律文书的信息；其他可以作为黑名单认定数据来源的信息。</w:t>
      </w:r>
    </w:p>
    <w:p>
      <w:pPr>
        <w:overflowPunct w:val="0"/>
        <w:spacing w:line="580" w:lineRule="exact"/>
        <w:ind w:firstLine="640" w:firstLineChars="200"/>
        <w:rPr>
          <w:rFonts w:eastAsia="楷体_GB2312"/>
          <w:szCs w:val="32"/>
        </w:rPr>
      </w:pPr>
      <w:r>
        <w:rPr>
          <w:rFonts w:eastAsia="楷体_GB2312"/>
          <w:szCs w:val="32"/>
        </w:rPr>
        <w:t>（二）严格红黑名单认定程序</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1.红名单认定程序。认定部门应当依据红名单认定标准生成初步认定的红名单，并将红名单与全国交通运输信用信息共享平台和省公共信用信息系统中的各领域黑名单和重点关注对象名单进行交叉比对。已被列入黑名单和重点关注对象名单的主体不得列入红名单。</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认定部门应当将比对后的红名单在浙江信用交通网站予以</w:t>
      </w:r>
      <w:r>
        <w:rPr>
          <w:rFonts w:hint="eastAsia" w:ascii="仿宋_GB2312"/>
          <w:spacing w:val="4"/>
          <w:szCs w:val="32"/>
        </w:rPr>
        <w:t>公示，公示期为10个工作日。法律法规规章另有规定的，从其</w:t>
      </w:r>
      <w:r>
        <w:rPr>
          <w:rFonts w:hint="eastAsia" w:ascii="仿宋_GB2312"/>
          <w:szCs w:val="32"/>
        </w:rPr>
        <w:t>规定。</w:t>
      </w:r>
    </w:p>
    <w:p>
      <w:pPr>
        <w:overflowPunct w:val="0"/>
        <w:spacing w:line="580" w:lineRule="exact"/>
        <w:ind w:firstLine="656" w:firstLineChars="200"/>
        <w:rPr>
          <w:rFonts w:hint="eastAsia" w:ascii="仿宋_GB2312"/>
          <w:szCs w:val="32"/>
        </w:rPr>
      </w:pPr>
      <w:r>
        <w:rPr>
          <w:rFonts w:hint="eastAsia" w:ascii="仿宋_GB2312"/>
          <w:spacing w:val="4"/>
          <w:szCs w:val="32"/>
        </w:rPr>
        <w:t>2.黑名单认定程序。认</w:t>
      </w:r>
      <w:r>
        <w:rPr>
          <w:rFonts w:hint="eastAsia" w:ascii="仿宋_GB2312"/>
          <w:szCs w:val="32"/>
        </w:rPr>
        <w:t>定部门应当依据黑名单认定标准生成初步认定的黑名单，并履行公示或告知程序。公示应通过浙江信用交通网站实施，公示期一般为10个工作日。从业人员拟被列入黑名单的，应由认定部门按照规定通过短信、网站、邮寄、报纸等方式实行事前告知。拟被列入主体有异议的，应在公示期内向认定部门进行陈述和申辩，其提出的事实、理由或者证据成立的，认定部门应当采纳。法律法规规章另有规定的，从其规定。</w:t>
      </w:r>
    </w:p>
    <w:p>
      <w:pPr>
        <w:overflowPunct w:val="0"/>
        <w:spacing w:line="580" w:lineRule="exact"/>
        <w:ind w:firstLine="640" w:firstLineChars="200"/>
        <w:rPr>
          <w:rFonts w:hint="eastAsia" w:ascii="仿宋_GB2312"/>
          <w:szCs w:val="32"/>
        </w:rPr>
      </w:pPr>
      <w:r>
        <w:rPr>
          <w:rFonts w:hint="eastAsia" w:ascii="仿宋_GB2312"/>
          <w:szCs w:val="32"/>
        </w:rPr>
        <w:t>认定部门决定将从业主体列入黑名单的，应当制作决定书。决定书应当由认定部门负责人签发。</w:t>
      </w:r>
    </w:p>
    <w:p>
      <w:pPr>
        <w:overflowPunct w:val="0"/>
        <w:spacing w:line="580" w:lineRule="exact"/>
        <w:ind w:firstLine="640" w:firstLineChars="200"/>
        <w:rPr>
          <w:rFonts w:hint="eastAsia" w:ascii="仿宋_GB2312"/>
          <w:szCs w:val="32"/>
        </w:rPr>
      </w:pPr>
      <w:r>
        <w:rPr>
          <w:rFonts w:hint="eastAsia" w:ascii="仿宋_GB2312"/>
          <w:szCs w:val="32"/>
        </w:rPr>
        <w:t>被认定为交通运输领域黑名单的，黑名单有效期内该主体交通运输信用等级一律降为最低信用等级。</w:t>
      </w:r>
    </w:p>
    <w:p>
      <w:pPr>
        <w:overflowPunct w:val="0"/>
        <w:adjustRightInd w:val="0"/>
        <w:spacing w:line="580" w:lineRule="exact"/>
        <w:ind w:firstLine="640" w:firstLineChars="200"/>
        <w:rPr>
          <w:szCs w:val="32"/>
        </w:rPr>
      </w:pPr>
      <w:r>
        <w:rPr>
          <w:rFonts w:eastAsia="楷体_GB2312"/>
          <w:szCs w:val="32"/>
        </w:rPr>
        <w:t>（三）严格红黑名单公示管理。</w:t>
      </w:r>
      <w:r>
        <w:rPr>
          <w:szCs w:val="32"/>
        </w:rPr>
        <w:t>红黑名单公示时，应当同时公示信用主体的基本信息、认定部门、认定事实、认定依据、异议处理途径等内容；公布列入和移出红黑名单决定的，还应当公布认定日期、名单有效期、联合奖惩措施、信用修复与退出程序等内容。</w:t>
      </w:r>
    </w:p>
    <w:p>
      <w:pPr>
        <w:overflowPunct w:val="0"/>
        <w:adjustRightInd w:val="0"/>
        <w:spacing w:line="580" w:lineRule="exact"/>
        <w:ind w:firstLine="640" w:firstLineChars="200"/>
        <w:rPr>
          <w:szCs w:val="32"/>
        </w:rPr>
      </w:pPr>
      <w:r>
        <w:rPr>
          <w:szCs w:val="32"/>
        </w:rPr>
        <w:t>红名单有效期与相应守信信息有效期限一致。黑名单有效期原则上不超</w:t>
      </w:r>
      <w:r>
        <w:rPr>
          <w:rFonts w:hint="eastAsia" w:ascii="仿宋_GB2312"/>
          <w:szCs w:val="32"/>
        </w:rPr>
        <w:t>过3</w:t>
      </w:r>
      <w:r>
        <w:rPr>
          <w:szCs w:val="32"/>
        </w:rPr>
        <w:t>年。失信行为情节特别严重的，黑名单有效期可以</w:t>
      </w:r>
      <w:r>
        <w:rPr>
          <w:rFonts w:hint="eastAsia" w:ascii="仿宋_GB2312"/>
          <w:szCs w:val="32"/>
        </w:rPr>
        <w:t>延长1至2年。具体有</w:t>
      </w:r>
      <w:r>
        <w:rPr>
          <w:szCs w:val="32"/>
        </w:rPr>
        <w:t>效期由认定部门依法依规确定。</w:t>
      </w:r>
    </w:p>
    <w:p>
      <w:pPr>
        <w:shd w:val="clear" w:color="auto" w:fill="FFFFFF"/>
        <w:overflowPunct w:val="0"/>
        <w:spacing w:line="580" w:lineRule="exact"/>
        <w:ind w:firstLine="640" w:firstLineChars="200"/>
        <w:rPr>
          <w:szCs w:val="32"/>
        </w:rPr>
      </w:pPr>
      <w:r>
        <w:rPr>
          <w:rFonts w:eastAsia="楷体_GB2312"/>
          <w:szCs w:val="32"/>
        </w:rPr>
        <w:t>（四）建立信用重点关注对象名单。</w:t>
      </w:r>
      <w:r>
        <w:rPr>
          <w:szCs w:val="32"/>
        </w:rPr>
        <w:t>在本省交通运输领域发生较重的失信行为或者多次发生轻微的失信行为，但尚未达到黑名单认定标准的从业主体，可以列入信用状况重点关注对象名单，加强监管。重点关注对象名单管理，按照本省交通运输各领域信用管理有关规定执行。</w:t>
      </w:r>
    </w:p>
    <w:p>
      <w:pPr>
        <w:overflowPunct w:val="0"/>
        <w:spacing w:line="580" w:lineRule="exact"/>
        <w:ind w:firstLine="640" w:firstLineChars="200"/>
        <w:rPr>
          <w:rFonts w:ascii="黑体" w:hAnsi="黑体" w:eastAsia="黑体"/>
          <w:szCs w:val="32"/>
        </w:rPr>
      </w:pPr>
      <w:r>
        <w:rPr>
          <w:rFonts w:ascii="黑体" w:hAnsi="黑体" w:eastAsia="黑体"/>
          <w:szCs w:val="32"/>
        </w:rPr>
        <w:t>五、加强从业主体权益保护</w:t>
      </w:r>
    </w:p>
    <w:p>
      <w:pPr>
        <w:overflowPunct w:val="0"/>
        <w:spacing w:line="580" w:lineRule="exact"/>
        <w:ind w:firstLine="640" w:firstLineChars="200"/>
        <w:rPr>
          <w:rFonts w:eastAsia="楷体_GB2312"/>
          <w:szCs w:val="32"/>
        </w:rPr>
      </w:pPr>
      <w:r>
        <w:rPr>
          <w:rFonts w:eastAsia="楷体_GB2312"/>
          <w:szCs w:val="32"/>
        </w:rPr>
        <w:t>（一）信用信息异议和修复管理</w:t>
      </w:r>
    </w:p>
    <w:p>
      <w:pPr>
        <w:overflowPunct w:val="0"/>
        <w:spacing w:line="580" w:lineRule="exact"/>
        <w:ind w:firstLine="640" w:firstLineChars="200"/>
        <w:rPr>
          <w:rFonts w:hint="eastAsia" w:ascii="仿宋_GB2312"/>
          <w:szCs w:val="32"/>
        </w:rPr>
      </w:pPr>
      <w:r>
        <w:rPr>
          <w:rFonts w:hint="eastAsia" w:ascii="仿宋_GB2312"/>
          <w:szCs w:val="32"/>
        </w:rPr>
        <w:t>1.信用不良信息异议和修复管理。交通运输信用不良信息异议和修复工作，按照“谁认定，谁修复”原则，根据《浙江省公共信用信息条例》《浙江省公共信用修复管理暂行办法》（浙发改财金〔2018〕671号）等规定执行，涉及信用中国和信用浙江网站公布信息的信用修复按照《关于转发〈国家发展改革委办公厅关于进一步完善“信用中国”网站及地方信用门户网站行政处罚信息信用修复机制的通知〉及进一步做好我省公共信用修复有关工作的通知》（浙信用办〔2019〕9号）等规定执行。</w:t>
      </w:r>
    </w:p>
    <w:p>
      <w:pPr>
        <w:shd w:val="clear" w:color="auto" w:fill="FFFFFF"/>
        <w:overflowPunct w:val="0"/>
        <w:spacing w:line="580" w:lineRule="exact"/>
        <w:ind w:firstLine="640" w:firstLineChars="200"/>
        <w:rPr>
          <w:rFonts w:hint="eastAsia" w:ascii="仿宋_GB2312"/>
          <w:szCs w:val="32"/>
        </w:rPr>
      </w:pPr>
      <w:r>
        <w:rPr>
          <w:rFonts w:hint="eastAsia" w:ascii="仿宋_GB2312"/>
          <w:szCs w:val="32"/>
        </w:rPr>
        <w:t>2.红黑名单异议和移除管理。红黑名单异议管理按照交通运输部《交通运输守信联合激励和失信联合惩戒对象名单管理办法（试行）》（交政研发〔2018〕181号）执行。</w:t>
      </w:r>
    </w:p>
    <w:p>
      <w:pPr>
        <w:overflowPunct w:val="0"/>
        <w:spacing w:line="580" w:lineRule="exact"/>
        <w:ind w:firstLine="640" w:firstLineChars="200"/>
        <w:rPr>
          <w:rFonts w:hint="eastAsia" w:ascii="仿宋_GB2312"/>
          <w:szCs w:val="32"/>
        </w:rPr>
      </w:pPr>
      <w:r>
        <w:rPr>
          <w:rFonts w:hint="eastAsia" w:ascii="仿宋_GB2312"/>
          <w:szCs w:val="32"/>
        </w:rPr>
        <w:t>被列入黑名单的从业主体符合《浙江省公共信用信息管理条例》第三十条有关情形的，认定部门应当按照有关规定将其移出黑名单。</w:t>
      </w:r>
    </w:p>
    <w:p>
      <w:pPr>
        <w:overflowPunct w:val="0"/>
        <w:spacing w:line="580" w:lineRule="exact"/>
        <w:ind w:firstLine="640" w:firstLineChars="200"/>
        <w:rPr>
          <w:rFonts w:hint="eastAsia" w:ascii="仿宋_GB2312"/>
          <w:szCs w:val="32"/>
        </w:rPr>
      </w:pPr>
      <w:r>
        <w:rPr>
          <w:rFonts w:hint="eastAsia" w:ascii="仿宋_GB2312"/>
          <w:szCs w:val="32"/>
        </w:rPr>
        <w:t>被</w:t>
      </w:r>
      <w:r>
        <w:rPr>
          <w:rFonts w:hint="eastAsia" w:ascii="仿宋_GB2312"/>
          <w:spacing w:val="2"/>
          <w:szCs w:val="32"/>
        </w:rPr>
        <w:t>列入红名单的从业主体有下列情形之一的，应当移出红名单：红名单有效期届满的；红名单有效期内被有关部门列入黑名单或者重点关注对象名单的；红名单有效期内发现存在不当利用红名单激励机制等不良行为的；其他依法依规应当移除的情形。</w:t>
      </w:r>
    </w:p>
    <w:p>
      <w:pPr>
        <w:overflowPunct w:val="0"/>
        <w:spacing w:line="580" w:lineRule="exact"/>
        <w:ind w:firstLine="640" w:firstLineChars="200"/>
        <w:rPr>
          <w:rFonts w:hint="eastAsia" w:ascii="仿宋_GB2312"/>
          <w:szCs w:val="32"/>
        </w:rPr>
      </w:pPr>
      <w:r>
        <w:rPr>
          <w:rFonts w:hint="eastAsia" w:ascii="仿宋_GB2312"/>
          <w:szCs w:val="32"/>
        </w:rPr>
        <w:t>3.法律法规规章或国家、省另有规定的，从其规定。</w:t>
      </w:r>
    </w:p>
    <w:p>
      <w:pPr>
        <w:overflowPunct w:val="0"/>
        <w:spacing w:line="580" w:lineRule="exact"/>
        <w:ind w:firstLine="640" w:firstLineChars="200"/>
        <w:rPr>
          <w:szCs w:val="32"/>
        </w:rPr>
      </w:pPr>
      <w:r>
        <w:rPr>
          <w:rFonts w:eastAsia="楷体_GB2312"/>
          <w:szCs w:val="32"/>
        </w:rPr>
        <w:t>（二）加强信用信息安全管理。</w:t>
      </w:r>
      <w:r>
        <w:rPr>
          <w:szCs w:val="32"/>
        </w:rPr>
        <w:t>各级交通运输部门应当做好信用信息的安全防护工作，不得泄露、伪造、篡改、违规删除信用信息，保证信息的真实性、合法性、完整性。</w:t>
      </w:r>
    </w:p>
    <w:p>
      <w:pPr>
        <w:overflowPunct w:val="0"/>
        <w:spacing w:line="580" w:lineRule="exact"/>
        <w:ind w:firstLine="640" w:firstLineChars="200"/>
        <w:rPr>
          <w:szCs w:val="32"/>
        </w:rPr>
      </w:pPr>
      <w:r>
        <w:rPr>
          <w:szCs w:val="32"/>
        </w:rPr>
        <w:t>交通运输部门信用信息录入、更改以及异议修复操作实行痕迹化管理，保存实施该行为的人员、日期、内容和结果等日志信息直至该信用信息失效。</w:t>
      </w:r>
    </w:p>
    <w:p>
      <w:pPr>
        <w:overflowPunct w:val="0"/>
        <w:spacing w:line="580" w:lineRule="exact"/>
        <w:ind w:firstLine="640" w:firstLineChars="200"/>
        <w:rPr>
          <w:szCs w:val="32"/>
        </w:rPr>
      </w:pPr>
      <w:r>
        <w:rPr>
          <w:szCs w:val="32"/>
        </w:rPr>
        <w:t>任何单位和个人应当对经依法查询或者其他途径获取的信息主体的非公开披露信息负有保密义务。公开个人相关信息的，必须有明确的法律、法规或者国务院决定、命令作为依据或者经本人同意，并进行必要的脱敏处理。</w:t>
      </w:r>
    </w:p>
    <w:p>
      <w:pPr>
        <w:overflowPunct w:val="0"/>
        <w:spacing w:line="580" w:lineRule="exact"/>
        <w:ind w:firstLine="640" w:firstLineChars="200"/>
        <w:rPr>
          <w:rFonts w:ascii="黑体" w:hAnsi="黑体" w:eastAsia="黑体"/>
          <w:szCs w:val="32"/>
        </w:rPr>
      </w:pPr>
      <w:r>
        <w:rPr>
          <w:rFonts w:ascii="黑体" w:hAnsi="黑体" w:eastAsia="黑体"/>
          <w:szCs w:val="32"/>
        </w:rPr>
        <w:t>六、实施保障</w:t>
      </w:r>
    </w:p>
    <w:p>
      <w:pPr>
        <w:overflowPunct w:val="0"/>
        <w:spacing w:line="580" w:lineRule="exact"/>
        <w:ind w:firstLine="640" w:firstLineChars="200"/>
        <w:rPr>
          <w:b/>
          <w:szCs w:val="32"/>
        </w:rPr>
      </w:pPr>
      <w:r>
        <w:rPr>
          <w:rFonts w:eastAsia="楷体_GB2312"/>
          <w:szCs w:val="32"/>
        </w:rPr>
        <w:t>（一）提高思想认识。</w:t>
      </w:r>
      <w:r>
        <w:rPr>
          <w:szCs w:val="32"/>
        </w:rPr>
        <w:t>信用交通建设是提升行业治理</w:t>
      </w:r>
      <w:r>
        <w:rPr>
          <w:rFonts w:hint="eastAsia"/>
          <w:szCs w:val="32"/>
        </w:rPr>
        <w:t>体系</w:t>
      </w:r>
      <w:r>
        <w:rPr>
          <w:szCs w:val="32"/>
        </w:rPr>
        <w:t>和治理</w:t>
      </w:r>
      <w:r>
        <w:rPr>
          <w:rFonts w:hint="eastAsia"/>
          <w:szCs w:val="32"/>
        </w:rPr>
        <w:t>能力</w:t>
      </w:r>
      <w:r>
        <w:rPr>
          <w:szCs w:val="32"/>
        </w:rPr>
        <w:t>现代化的基础性工作，是交通运输行业管理的重要载体和手段。各级交通运输部门要高度重视，主动作为，真正将信用融入到交通建设、运营、管理、服务等各环节中，推动构建以信用为基础的新型监管机制。</w:t>
      </w:r>
    </w:p>
    <w:p>
      <w:pPr>
        <w:overflowPunct w:val="0"/>
        <w:autoSpaceDE w:val="0"/>
        <w:adjustRightInd w:val="0"/>
        <w:spacing w:line="580" w:lineRule="exact"/>
        <w:ind w:firstLine="640" w:firstLineChars="200"/>
        <w:rPr>
          <w:szCs w:val="32"/>
        </w:rPr>
      </w:pPr>
      <w:r>
        <w:rPr>
          <w:rFonts w:eastAsia="楷体_GB2312"/>
          <w:szCs w:val="32"/>
        </w:rPr>
        <w:t>（二）加强督查考核。</w:t>
      </w:r>
      <w:r>
        <w:rPr>
          <w:szCs w:val="32"/>
        </w:rPr>
        <w:t>各级交通运输（港航）主管部门要强化责任落实，切实抓好制度的宣贯实施，开展本辖区信用督导和培训工作。省厅将适时对各地各单位相关工作落实情况开展督查，并列入年度绩效考评。</w:t>
      </w:r>
    </w:p>
    <w:p>
      <w:pPr>
        <w:overflowPunct w:val="0"/>
        <w:spacing w:line="580" w:lineRule="exact"/>
        <w:ind w:firstLine="640" w:firstLineChars="200"/>
        <w:rPr>
          <w:szCs w:val="32"/>
        </w:rPr>
      </w:pPr>
      <w:r>
        <w:rPr>
          <w:rFonts w:eastAsia="楷体_GB2312"/>
          <w:szCs w:val="32"/>
        </w:rPr>
        <w:t>（三）加强宣传教育。</w:t>
      </w:r>
      <w:r>
        <w:rPr>
          <w:szCs w:val="32"/>
        </w:rPr>
        <w:t>各级交通运输部门应加强诚信宣传教育，多渠道、多角度宣传交通运输行业诚信企业和个人，依法曝光社会影响恶劣、情节严重的失信案件，营造诚信为荣、失信可耻的良好氛围，切实提升交通运输行业诚信水平。</w:t>
      </w:r>
    </w:p>
    <w:p>
      <w:pPr>
        <w:overflowPunct w:val="0"/>
        <w:spacing w:line="580" w:lineRule="exact"/>
        <w:ind w:firstLine="640" w:firstLineChars="200"/>
        <w:rPr>
          <w:rFonts w:hint="eastAsia" w:ascii="仿宋_GB2312"/>
          <w:szCs w:val="32"/>
        </w:rPr>
      </w:pPr>
      <w:r>
        <w:rPr>
          <w:rFonts w:hint="eastAsia" w:ascii="仿宋_GB2312"/>
          <w:szCs w:val="32"/>
        </w:rPr>
        <w:t>（四）把握时间节点。本办法自2021年6月1日起施行。《关于做好交通运输领域守信激励和失信惩戒工作的通知》（浙交办〔2016〕316号）同时废止。</w:t>
      </w:r>
    </w:p>
    <w:p>
      <w:pPr>
        <w:overflowPunct w:val="0"/>
        <w:spacing w:line="580" w:lineRule="exact"/>
        <w:rPr>
          <w:rFonts w:hint="eastAsia" w:ascii="仿宋_GB2312"/>
          <w:szCs w:val="32"/>
        </w:rPr>
      </w:pPr>
    </w:p>
    <w:p>
      <w:pPr>
        <w:overflowPunct w:val="0"/>
        <w:spacing w:line="580" w:lineRule="exact"/>
        <w:ind w:firstLine="640" w:firstLineChars="200"/>
        <w:rPr>
          <w:rFonts w:hint="eastAsia" w:ascii="仿宋_GB2312"/>
          <w:szCs w:val="32"/>
        </w:rPr>
      </w:pPr>
      <w:r>
        <w:rPr>
          <w:rFonts w:hint="eastAsia" w:ascii="仿宋_GB2312"/>
          <w:szCs w:val="32"/>
        </w:rPr>
        <w:t>附件：1.浙江省道路运输企业信用管理实施细则</w:t>
      </w:r>
    </w:p>
    <w:p>
      <w:pPr>
        <w:overflowPunct w:val="0"/>
        <w:spacing w:line="580" w:lineRule="exact"/>
        <w:ind w:firstLine="1593" w:firstLineChars="498"/>
        <w:rPr>
          <w:rFonts w:hint="eastAsia" w:ascii="仿宋_GB2312"/>
          <w:szCs w:val="32"/>
        </w:rPr>
      </w:pPr>
      <w:r>
        <w:rPr>
          <w:rFonts w:hint="eastAsia" w:ascii="仿宋_GB2312"/>
          <w:szCs w:val="32"/>
        </w:rPr>
        <w:t>2.浙江省道路运输从业人员信用管理实施细则</w:t>
      </w:r>
    </w:p>
    <w:p>
      <w:pPr>
        <w:overflowPunct w:val="0"/>
        <w:spacing w:line="580" w:lineRule="exact"/>
        <w:ind w:firstLine="1593" w:firstLineChars="498"/>
        <w:rPr>
          <w:rFonts w:hint="eastAsia" w:ascii="仿宋_GB2312"/>
          <w:szCs w:val="32"/>
        </w:rPr>
      </w:pPr>
      <w:r>
        <w:rPr>
          <w:rFonts w:hint="eastAsia" w:ascii="仿宋_GB2312"/>
          <w:szCs w:val="32"/>
        </w:rPr>
        <w:t>3.</w:t>
      </w:r>
      <w:r>
        <w:rPr>
          <w:rFonts w:hint="eastAsia" w:ascii="仿宋_GB2312"/>
          <w:spacing w:val="-20"/>
          <w:szCs w:val="32"/>
        </w:rPr>
        <w:t>浙江省公路养护工程设计和施工企业信用管理实施细则</w:t>
      </w:r>
    </w:p>
    <w:p>
      <w:pPr>
        <w:overflowPunct w:val="0"/>
        <w:spacing w:line="580" w:lineRule="exact"/>
        <w:ind w:firstLine="1593" w:firstLineChars="498"/>
        <w:rPr>
          <w:rFonts w:hint="eastAsia" w:ascii="仿宋_GB2312"/>
          <w:szCs w:val="32"/>
        </w:rPr>
      </w:pPr>
      <w:r>
        <w:rPr>
          <w:rFonts w:hint="eastAsia" w:ascii="仿宋_GB2312"/>
          <w:szCs w:val="32"/>
        </w:rPr>
        <w:t>4.浙江省水路运输企业信用管理实施细则</w:t>
      </w:r>
    </w:p>
    <w:p>
      <w:pPr>
        <w:overflowPunct w:val="0"/>
        <w:spacing w:line="580" w:lineRule="exact"/>
        <w:ind w:firstLine="1439" w:firstLineChars="514"/>
        <w:rPr>
          <w:rFonts w:hint="eastAsia"/>
          <w:szCs w:val="32"/>
        </w:rPr>
      </w:pPr>
      <w:r>
        <w:rPr>
          <w:rFonts w:hint="eastAsia" w:ascii="仿宋_GB2312"/>
          <w:spacing w:val="-20"/>
          <w:szCs w:val="32"/>
        </w:rPr>
        <w:t>5.浙江省港口经营及相关业务经营者信用管理实施细则</w:t>
      </w:r>
    </w:p>
    <w:p>
      <w:pPr>
        <w:overflowPunct w:val="0"/>
        <w:spacing w:line="580" w:lineRule="exact"/>
        <w:ind w:firstLine="1910" w:firstLineChars="597"/>
        <w:rPr>
          <w:szCs w:val="32"/>
        </w:rPr>
      </w:pPr>
    </w:p>
    <w:p>
      <w:pPr>
        <w:overflowPunct w:val="0"/>
        <w:spacing w:line="580" w:lineRule="exact"/>
        <w:rPr>
          <w:rFonts w:ascii="黑体" w:hAnsi="黑体" w:eastAsia="黑体"/>
          <w:szCs w:val="32"/>
        </w:rPr>
      </w:pPr>
      <w:r>
        <w:rPr>
          <w:szCs w:val="32"/>
        </w:rPr>
        <w:br w:type="page"/>
      </w:r>
      <w:r>
        <w:rPr>
          <w:rFonts w:ascii="黑体" w:hAnsi="黑体" w:eastAsia="黑体"/>
          <w:szCs w:val="32"/>
        </w:rPr>
        <w:t>附件1</w:t>
      </w:r>
    </w:p>
    <w:p>
      <w:pPr>
        <w:overflowPunct w:val="0"/>
        <w:spacing w:line="580" w:lineRule="exact"/>
        <w:ind w:firstLine="640" w:firstLineChars="200"/>
        <w:rPr>
          <w:szCs w:val="32"/>
        </w:rPr>
      </w:pPr>
    </w:p>
    <w:p>
      <w:pPr>
        <w:overflowPunct w:val="0"/>
        <w:spacing w:line="580" w:lineRule="exact"/>
        <w:jc w:val="center"/>
        <w:rPr>
          <w:rFonts w:ascii="方正小标宋简体" w:eastAsia="方正小标宋简体"/>
          <w:sz w:val="44"/>
          <w:szCs w:val="44"/>
        </w:rPr>
      </w:pPr>
      <w:r>
        <w:rPr>
          <w:rFonts w:ascii="方正小标宋简体" w:eastAsia="方正小标宋简体"/>
          <w:sz w:val="44"/>
          <w:szCs w:val="44"/>
        </w:rPr>
        <w:t>浙江省道路运输企业信用管理实施细则</w:t>
      </w:r>
    </w:p>
    <w:p>
      <w:pPr>
        <w:overflowPunct w:val="0"/>
        <w:spacing w:line="580" w:lineRule="exact"/>
        <w:ind w:firstLine="640" w:firstLineChars="200"/>
        <w:rPr>
          <w:szCs w:val="32"/>
        </w:rPr>
      </w:pPr>
    </w:p>
    <w:p>
      <w:pPr>
        <w:overflowPunct w:val="0"/>
        <w:autoSpaceDE w:val="0"/>
        <w:adjustRightInd w:val="0"/>
        <w:spacing w:line="580" w:lineRule="exact"/>
        <w:ind w:firstLine="640" w:firstLineChars="200"/>
        <w:rPr>
          <w:szCs w:val="32"/>
        </w:rPr>
      </w:pPr>
      <w:r>
        <w:rPr>
          <w:szCs w:val="32"/>
        </w:rPr>
        <w:t>为推进道路运输行业信用体系建设，营造诚信经营环境，根据《道路运输企业质量信誉考核办法（试行）》《交通运输部出租汽车服务质量信誉考核办法》等信用工作有关规定，结合全省道路运输行业实际，制定本细则。</w:t>
      </w:r>
    </w:p>
    <w:p>
      <w:pPr>
        <w:overflowPunct w:val="0"/>
        <w:spacing w:line="580" w:lineRule="exact"/>
        <w:ind w:firstLine="640" w:firstLineChars="200"/>
        <w:rPr>
          <w:rFonts w:ascii="黑体" w:hAnsi="黑体" w:eastAsia="黑体"/>
          <w:szCs w:val="32"/>
        </w:rPr>
      </w:pPr>
      <w:bookmarkStart w:id="1" w:name="_Hlk66733870"/>
      <w:r>
        <w:rPr>
          <w:rFonts w:ascii="黑体" w:hAnsi="黑体" w:eastAsia="黑体"/>
          <w:szCs w:val="32"/>
        </w:rPr>
        <w:t>一、适用范围</w:t>
      </w:r>
    </w:p>
    <w:p>
      <w:pPr>
        <w:overflowPunct w:val="0"/>
        <w:autoSpaceDE w:val="0"/>
        <w:adjustRightInd w:val="0"/>
        <w:spacing w:line="580" w:lineRule="exact"/>
        <w:ind w:firstLine="640" w:firstLineChars="200"/>
        <w:rPr>
          <w:szCs w:val="32"/>
        </w:rPr>
      </w:pPr>
      <w:r>
        <w:rPr>
          <w:szCs w:val="32"/>
        </w:rPr>
        <w:t>本细则适用于本省行政区域内的道路运输企业信用信息采集、归集、共享、评价、应用等管理工作。</w:t>
      </w:r>
    </w:p>
    <w:bookmarkEnd w:id="1"/>
    <w:p>
      <w:pPr>
        <w:overflowPunct w:val="0"/>
        <w:spacing w:line="580" w:lineRule="exact"/>
        <w:ind w:firstLine="640" w:firstLineChars="200"/>
        <w:rPr>
          <w:rFonts w:ascii="黑体" w:hAnsi="黑体" w:eastAsia="黑体"/>
          <w:szCs w:val="32"/>
        </w:rPr>
      </w:pPr>
      <w:r>
        <w:rPr>
          <w:rFonts w:ascii="黑体" w:hAnsi="黑体" w:eastAsia="黑体"/>
          <w:szCs w:val="32"/>
        </w:rPr>
        <w:t>二、道路运输企业信用信息归集</w:t>
      </w:r>
    </w:p>
    <w:p>
      <w:pPr>
        <w:overflowPunct w:val="0"/>
        <w:spacing w:line="580" w:lineRule="exact"/>
        <w:ind w:firstLine="640" w:firstLineChars="200"/>
        <w:rPr>
          <w:szCs w:val="32"/>
        </w:rPr>
      </w:pPr>
      <w:r>
        <w:rPr>
          <w:rFonts w:eastAsia="楷体_GB2312"/>
          <w:szCs w:val="32"/>
        </w:rPr>
        <w:t>（一）</w:t>
      </w:r>
      <w:bookmarkStart w:id="2" w:name="_Hlk66731164"/>
      <w:r>
        <w:rPr>
          <w:rFonts w:eastAsia="楷体_GB2312"/>
          <w:szCs w:val="32"/>
        </w:rPr>
        <w:t>道路运输企业</w:t>
      </w:r>
      <w:bookmarkEnd w:id="2"/>
      <w:r>
        <w:rPr>
          <w:rFonts w:eastAsia="楷体_GB2312"/>
          <w:szCs w:val="32"/>
        </w:rPr>
        <w:t>基础信息主要包括：</w:t>
      </w:r>
      <w:r>
        <w:rPr>
          <w:szCs w:val="32"/>
        </w:rPr>
        <w:t>企业名称、法定代表人、统一社会信用代码、分公司名称及所在地、经营状态、经营范围、所属营运车辆等。</w:t>
      </w:r>
    </w:p>
    <w:p>
      <w:pPr>
        <w:overflowPunct w:val="0"/>
        <w:spacing w:line="580" w:lineRule="exact"/>
        <w:ind w:firstLine="640" w:firstLineChars="200"/>
        <w:rPr>
          <w:szCs w:val="32"/>
        </w:rPr>
      </w:pPr>
      <w:r>
        <w:rPr>
          <w:rFonts w:eastAsia="楷体_GB2312"/>
          <w:szCs w:val="32"/>
        </w:rPr>
        <w:t>（二）道路运输企业不良信息主要包括：</w:t>
      </w:r>
      <w:r>
        <w:rPr>
          <w:szCs w:val="32"/>
        </w:rPr>
        <w:t>企业行政处罚、行政强制、安全责任事故信息、被列入黑名单信息及被县级以上行政管理部门列为失信被执行人信息，经依法认定的违反法律、法规和规章规定的其他不良信息等。</w:t>
      </w:r>
    </w:p>
    <w:p>
      <w:pPr>
        <w:overflowPunct w:val="0"/>
        <w:spacing w:line="580" w:lineRule="exact"/>
        <w:ind w:firstLine="640" w:firstLineChars="200"/>
        <w:rPr>
          <w:szCs w:val="32"/>
        </w:rPr>
      </w:pPr>
      <w:r>
        <w:rPr>
          <w:szCs w:val="32"/>
        </w:rPr>
        <w:t>道路运输企业应当主动配合交通运输部门建立信用档案，及时将信用信息补充完善并更新，或者向所在地交通运输部门定期报送。</w:t>
      </w:r>
    </w:p>
    <w:p>
      <w:pPr>
        <w:overflowPunct w:val="0"/>
        <w:spacing w:line="580" w:lineRule="exact"/>
        <w:ind w:firstLine="640" w:firstLineChars="200"/>
        <w:rPr>
          <w:rFonts w:ascii="黑体" w:hAnsi="黑体" w:eastAsia="黑体"/>
          <w:szCs w:val="32"/>
        </w:rPr>
      </w:pPr>
      <w:r>
        <w:rPr>
          <w:rFonts w:ascii="黑体" w:hAnsi="黑体" w:eastAsia="黑体"/>
          <w:szCs w:val="32"/>
        </w:rPr>
        <w:t>三、道路运输企业信用评价</w:t>
      </w:r>
    </w:p>
    <w:p>
      <w:pPr>
        <w:overflowPunct w:val="0"/>
        <w:spacing w:line="580" w:lineRule="exact"/>
        <w:ind w:firstLine="640" w:firstLineChars="200"/>
        <w:rPr>
          <w:szCs w:val="32"/>
        </w:rPr>
      </w:pPr>
      <w:r>
        <w:rPr>
          <w:rFonts w:eastAsia="楷体_GB2312"/>
          <w:szCs w:val="32"/>
        </w:rPr>
        <w:t>（一）列入信用评价范围的主体。</w:t>
      </w:r>
      <w:r>
        <w:rPr>
          <w:szCs w:val="32"/>
        </w:rPr>
        <w:t>以下道路运输企业列入信用评价范围：道路旅客运输企业、城市公共汽车客运企业、出租汽车客运企业、道路普通货物运输企业、危险货物运输企业、机动车驾驶员培训机构、机动车维修企业、道路客运站（场）、道路货运站（场）、汽车综合性能检测站。</w:t>
      </w:r>
    </w:p>
    <w:p>
      <w:pPr>
        <w:overflowPunct w:val="0"/>
        <w:spacing w:line="580" w:lineRule="exact"/>
        <w:ind w:firstLine="640" w:firstLineChars="200"/>
        <w:rPr>
          <w:rFonts w:hint="eastAsia" w:ascii="仿宋_GB2312"/>
          <w:szCs w:val="32"/>
        </w:rPr>
      </w:pPr>
      <w:r>
        <w:rPr>
          <w:rFonts w:eastAsia="楷体_GB2312"/>
          <w:szCs w:val="32"/>
        </w:rPr>
        <w:t>（二）道路运输企业的信用等级和分值。</w:t>
      </w:r>
      <w:r>
        <w:rPr>
          <w:rFonts w:hint="eastAsia" w:ascii="仿宋_GB2312"/>
          <w:szCs w:val="32"/>
        </w:rPr>
        <w:t>道路运输企业信用评价实行千分制，信用评价基础分为1000分，加分项最高累计不超过100分。信用等级分为优秀、良好、中等、较差、差，分别用AA、A、B、C、D表示。具体分值与等级为：AA级：X≥ 950分，A级：850分≤X＜950分，B级：700分≤X＜850分，C级：600分≤X＜700分，D级：X＜600分。</w:t>
      </w:r>
    </w:p>
    <w:p>
      <w:pPr>
        <w:overflowPunct w:val="0"/>
        <w:spacing w:line="580" w:lineRule="exact"/>
        <w:ind w:firstLine="640" w:firstLineChars="200"/>
        <w:rPr>
          <w:rFonts w:eastAsia="楷体_GB2312"/>
          <w:szCs w:val="32"/>
        </w:rPr>
      </w:pPr>
      <w:r>
        <w:rPr>
          <w:rFonts w:eastAsia="楷体_GB2312"/>
          <w:szCs w:val="32"/>
        </w:rPr>
        <w:t>（三）道路运输企业的信用评价主要指标及分值</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1.</w:t>
      </w:r>
      <w:r>
        <w:rPr>
          <w:rFonts w:hint="eastAsia" w:ascii="仿宋_GB2312"/>
          <w:spacing w:val="-4"/>
          <w:szCs w:val="32"/>
        </w:rPr>
        <w:t>道路旅客运输企业、城市公共汽车客运企业、普通货物运输企业的信用评价主要指标及分值为：经营信用50分、市场信用350分、服务信用100分、安全信用400分、公共信用100分。</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2.出租汽车客运企业、道路货运站（场）的信用评价主要指标及分值为：经营信用50分、市场信用250分、服务信用200分、安全信用400分、公共信用100分。</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3.危险货物运输企业的信用评价主要指标及分值为：经营信用50分、市场信用300分、服务信用150分、安全信用400分、公共信用100分。</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4.机动车驾驶员培训机构、机动车维修企业的信用评价主要指标及分值为：经营信用50分、市场信用350分、服务信用200分、安全信用250分、公共信用150分。</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5.</w:t>
      </w:r>
      <w:r>
        <w:rPr>
          <w:rFonts w:hint="eastAsia" w:ascii="仿宋_GB2312"/>
          <w:spacing w:val="-4"/>
          <w:szCs w:val="32"/>
        </w:rPr>
        <w:t>道路客运站（场）的信用评价主要指标及分值为：经营信用150分、市场信用150分、服务信用300分、安全信用400分。</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6.汽车综合性能检测站的信用评价主要指标及分值为：经营信用50分、市场信用150分、服务信用200分、安全信用300分、公共信用300分。</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具体评价标准见附表。</w:t>
      </w:r>
    </w:p>
    <w:p>
      <w:pPr>
        <w:overflowPunct w:val="0"/>
        <w:spacing w:line="580" w:lineRule="exact"/>
        <w:ind w:firstLine="640" w:firstLineChars="200"/>
        <w:rPr>
          <w:szCs w:val="32"/>
        </w:rPr>
      </w:pPr>
      <w:r>
        <w:rPr>
          <w:rFonts w:eastAsia="楷体_GB2312"/>
          <w:szCs w:val="32"/>
        </w:rPr>
        <w:t>（四）道路运输企业的信用等级评定、评价周期及公示公布。</w:t>
      </w:r>
      <w:r>
        <w:rPr>
          <w:szCs w:val="32"/>
        </w:rPr>
        <w:t>道路运输企业的信用等级评价结果采用数据自动归集与人工录入信息相结合，经系统自动计算后产生</w:t>
      </w:r>
      <w:r>
        <w:rPr>
          <w:rFonts w:hint="eastAsia" w:ascii="仿宋_GB2312"/>
          <w:szCs w:val="32"/>
        </w:rPr>
        <w:t>，评价结果数据每3个月更新一次，评价周期为每年1月1日至12月31日。年度初评结果于次年2月1日前通过浙江信用交通网站公示，公示无异议的信息于3月1日前对外公布。对纳入信用管理时间不满6个月或在评价周期内未开展对应道路运输经营活动的企业，按照本细则规定进行记分，暂不评定当年度的信用等级。</w:t>
      </w:r>
    </w:p>
    <w:p>
      <w:pPr>
        <w:overflowPunct w:val="0"/>
        <w:autoSpaceDE w:val="0"/>
        <w:adjustRightInd w:val="0"/>
        <w:spacing w:line="580" w:lineRule="exact"/>
        <w:ind w:firstLine="640" w:firstLineChars="200"/>
        <w:rPr>
          <w:szCs w:val="32"/>
        </w:rPr>
      </w:pPr>
      <w:r>
        <w:rPr>
          <w:rFonts w:eastAsia="楷体_GB2312"/>
          <w:szCs w:val="32"/>
        </w:rPr>
        <w:t>（五）具备多种道路运输经营资质的道路运输企业的信用评价。</w:t>
      </w:r>
      <w:r>
        <w:rPr>
          <w:szCs w:val="32"/>
        </w:rPr>
        <w:t>道路运输企业同时具备多种道路运输经营资质的，应当分别进行信用等级评分，评定不同业务类别的信用等级。其业务类别最低的信用等级作为对外公布的最终信用等级。</w:t>
      </w:r>
    </w:p>
    <w:p>
      <w:pPr>
        <w:overflowPunct w:val="0"/>
        <w:autoSpaceDE w:val="0"/>
        <w:adjustRightInd w:val="0"/>
        <w:spacing w:line="580" w:lineRule="exact"/>
        <w:ind w:firstLine="640" w:firstLineChars="200"/>
        <w:rPr>
          <w:rFonts w:hint="eastAsia" w:ascii="仿宋_GB2312"/>
          <w:szCs w:val="32"/>
        </w:rPr>
      </w:pPr>
      <w:r>
        <w:rPr>
          <w:rFonts w:eastAsia="楷体_GB2312"/>
          <w:szCs w:val="32"/>
        </w:rPr>
        <w:t>（六）道路运输企业红名单认定标准。</w:t>
      </w:r>
      <w:r>
        <w:rPr>
          <w:rFonts w:hint="eastAsia" w:ascii="仿宋_GB2312"/>
          <w:szCs w:val="32"/>
        </w:rPr>
        <w:t>凡信用等级连续两年被评为AA级并获得省级以上国家机关表彰、奖励的，纳入道路运输企业红名单。</w:t>
      </w:r>
    </w:p>
    <w:p>
      <w:pPr>
        <w:overflowPunct w:val="0"/>
        <w:autoSpaceDE w:val="0"/>
        <w:adjustRightInd w:val="0"/>
        <w:spacing w:line="580" w:lineRule="exact"/>
        <w:ind w:firstLine="640" w:firstLineChars="200"/>
        <w:rPr>
          <w:rFonts w:hint="eastAsia" w:ascii="仿宋_GB2312"/>
          <w:szCs w:val="32"/>
        </w:rPr>
      </w:pPr>
      <w:r>
        <w:rPr>
          <w:rFonts w:eastAsia="楷体_GB2312"/>
          <w:szCs w:val="32"/>
        </w:rPr>
        <w:t>（七）道路运输企业黑名单认定标准。</w:t>
      </w:r>
      <w:r>
        <w:rPr>
          <w:rFonts w:hint="eastAsia" w:ascii="仿宋_GB2312"/>
          <w:szCs w:val="32"/>
        </w:rPr>
        <w:t>凡发生以下行为之一的，纳入道路运输企业黑名单，同时本年度信用等级直接认定为D级：</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1.以欺骗、贿赂等不正当手段取得行政许可、行政确认、行政给付、行政奖励的；</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2.</w:t>
      </w:r>
      <w:r>
        <w:rPr>
          <w:rFonts w:hint="eastAsia" w:ascii="仿宋_GB2312"/>
          <w:spacing w:val="2"/>
          <w:szCs w:val="32"/>
        </w:rPr>
        <w:t>道路货物运输企业1年内违法超限运输的货运车辆超过</w:t>
      </w:r>
      <w:r>
        <w:rPr>
          <w:rFonts w:hint="eastAsia" w:ascii="仿宋_GB2312"/>
          <w:szCs w:val="32"/>
        </w:rPr>
        <w:t>本单位货运车辆总数10%，并被责令停业整顿的；</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3.指使、强令车辆驾驶人超限运输货物，被处以2万元以上罚款，或者1年内被给予3次以上行政处罚的；</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4.道路运输企业发生同责以上重特大安全生产责任事故或特大恶性污染责任事故的；</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5.因堵塞交通、强行冲卡、暴力抗法、破坏相关设施设备或造成人员伤亡，被公安机关依法给予行政处罚的；</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6.法律、法规、规章规定的其他应当将信息主体列入严重失信名单的相关信息。</w:t>
      </w:r>
    </w:p>
    <w:p>
      <w:pPr>
        <w:overflowPunct w:val="0"/>
        <w:autoSpaceDE w:val="0"/>
        <w:adjustRightInd w:val="0"/>
        <w:spacing w:line="580" w:lineRule="exact"/>
        <w:ind w:firstLine="640" w:firstLineChars="200"/>
        <w:rPr>
          <w:rFonts w:hint="eastAsia" w:ascii="仿宋_GB2312"/>
          <w:szCs w:val="32"/>
        </w:rPr>
      </w:pPr>
      <w:r>
        <w:rPr>
          <w:rFonts w:hint="eastAsia" w:ascii="仿宋_GB2312"/>
          <w:szCs w:val="32"/>
        </w:rPr>
        <w:t>特大恶性污染责任事故是指由于企业原因，造成所承运的货物泄露、丢失、燃烧、爆炸等，对社会环境造成严重污染、造成国家和社会公众财产重大损失。</w:t>
      </w:r>
    </w:p>
    <w:p>
      <w:pPr>
        <w:overflowPunct w:val="0"/>
        <w:spacing w:line="580" w:lineRule="exact"/>
        <w:ind w:firstLine="640" w:firstLineChars="200"/>
        <w:rPr>
          <w:rFonts w:ascii="黑体" w:hAnsi="黑体" w:eastAsia="黑体"/>
          <w:szCs w:val="32"/>
        </w:rPr>
      </w:pPr>
      <w:r>
        <w:rPr>
          <w:rFonts w:ascii="黑体" w:hAnsi="黑体" w:eastAsia="黑体"/>
          <w:szCs w:val="32"/>
        </w:rPr>
        <w:t>四、道路运输企业信用结果应用</w:t>
      </w:r>
    </w:p>
    <w:p>
      <w:pPr>
        <w:overflowPunct w:val="0"/>
        <w:spacing w:line="580" w:lineRule="exact"/>
        <w:ind w:firstLine="640" w:firstLineChars="200"/>
        <w:rPr>
          <w:rFonts w:hint="eastAsia" w:ascii="仿宋_GB2312"/>
          <w:szCs w:val="32"/>
        </w:rPr>
      </w:pPr>
      <w:r>
        <w:rPr>
          <w:rFonts w:eastAsia="楷体_GB2312"/>
          <w:szCs w:val="32"/>
        </w:rPr>
        <w:t>（一）分级分类监管。</w:t>
      </w:r>
      <w:r>
        <w:rPr>
          <w:rFonts w:hint="eastAsia" w:ascii="仿宋_GB2312"/>
          <w:szCs w:val="32"/>
        </w:rPr>
        <w:t>将信用评价结果作为“双随机”抽查监管依据，适当降低或提高抽查比例。对于道路旅客运输企业、危险货物运输企业，按照国家和省有关重点监管事项规定执行。对于其他AA、A、B、C、D级企业，抽查比例可分别设置为当年度计划抽查比例的30%、50%、100%、150%、200%。</w:t>
      </w:r>
    </w:p>
    <w:p>
      <w:pPr>
        <w:overflowPunct w:val="0"/>
        <w:spacing w:line="580" w:lineRule="exact"/>
        <w:ind w:firstLine="640" w:firstLineChars="200"/>
        <w:rPr>
          <w:rFonts w:hint="eastAsia" w:ascii="楷体_GB2312" w:eastAsia="楷体_GB2312"/>
          <w:szCs w:val="32"/>
        </w:rPr>
      </w:pPr>
      <w:r>
        <w:rPr>
          <w:rFonts w:eastAsia="楷体_GB2312"/>
          <w:szCs w:val="32"/>
        </w:rPr>
        <w:t>（二）</w:t>
      </w:r>
      <w:r>
        <w:rPr>
          <w:rFonts w:hint="eastAsia" w:ascii="楷体_GB2312" w:eastAsia="楷体_GB2312"/>
          <w:szCs w:val="32"/>
        </w:rPr>
        <w:t>对红名单、AA级道路运输企业，可以采取下列激励性措施：</w:t>
      </w:r>
    </w:p>
    <w:p>
      <w:pPr>
        <w:overflowPunct w:val="0"/>
        <w:spacing w:line="580" w:lineRule="exact"/>
        <w:ind w:firstLine="640" w:firstLineChars="200"/>
        <w:rPr>
          <w:rFonts w:hint="eastAsia" w:ascii="仿宋_GB2312"/>
          <w:szCs w:val="32"/>
        </w:rPr>
      </w:pPr>
      <w:r>
        <w:rPr>
          <w:rFonts w:hint="eastAsia" w:ascii="仿宋_GB2312"/>
          <w:szCs w:val="32"/>
        </w:rPr>
        <w:t>1.在行政许可过程中给予业务办理“绿色通道”“容缺受理”待遇；</w:t>
      </w:r>
    </w:p>
    <w:p>
      <w:pPr>
        <w:overflowPunct w:val="0"/>
        <w:spacing w:line="580" w:lineRule="exact"/>
        <w:ind w:firstLine="640" w:firstLineChars="200"/>
        <w:rPr>
          <w:rFonts w:hint="eastAsia" w:ascii="仿宋_GB2312"/>
          <w:szCs w:val="32"/>
        </w:rPr>
      </w:pPr>
      <w:r>
        <w:rPr>
          <w:rFonts w:hint="eastAsia" w:ascii="仿宋_GB2312"/>
          <w:szCs w:val="32"/>
        </w:rPr>
        <w:t>2.在财政资金申请、部省示范项目和示范企业申请评比等方面予以优先考虑；</w:t>
      </w:r>
    </w:p>
    <w:p>
      <w:pPr>
        <w:overflowPunct w:val="0"/>
        <w:spacing w:line="580" w:lineRule="exact"/>
        <w:ind w:firstLine="640" w:firstLineChars="200"/>
        <w:rPr>
          <w:rFonts w:hint="eastAsia" w:ascii="仿宋_GB2312"/>
          <w:spacing w:val="-2"/>
          <w:szCs w:val="32"/>
        </w:rPr>
      </w:pPr>
      <w:r>
        <w:rPr>
          <w:rFonts w:hint="eastAsia" w:ascii="仿宋_GB2312"/>
          <w:szCs w:val="32"/>
        </w:rPr>
        <w:t>3.</w:t>
      </w:r>
      <w:r>
        <w:rPr>
          <w:rFonts w:hint="eastAsia" w:ascii="仿宋_GB2312"/>
          <w:spacing w:val="-2"/>
          <w:szCs w:val="32"/>
        </w:rPr>
        <w:t>在新增客运班线、公共汽车客运线路以及新增包车、旅游客车或者出租汽车客运运力等服务质量招标投标中设置加分项；</w:t>
      </w:r>
    </w:p>
    <w:p>
      <w:pPr>
        <w:overflowPunct w:val="0"/>
        <w:spacing w:line="580" w:lineRule="exact"/>
        <w:ind w:firstLine="640" w:firstLineChars="200"/>
        <w:rPr>
          <w:rFonts w:hint="eastAsia" w:ascii="仿宋_GB2312"/>
          <w:szCs w:val="32"/>
        </w:rPr>
      </w:pPr>
      <w:r>
        <w:rPr>
          <w:rFonts w:hint="eastAsia" w:ascii="仿宋_GB2312"/>
          <w:szCs w:val="32"/>
        </w:rPr>
        <w:t>4.在各类日常监管、专项检查工作中优化监管安排，对其相应减少检查频次；</w:t>
      </w:r>
    </w:p>
    <w:p>
      <w:pPr>
        <w:overflowPunct w:val="0"/>
        <w:spacing w:line="580" w:lineRule="exact"/>
        <w:ind w:firstLine="640" w:firstLineChars="200"/>
        <w:rPr>
          <w:rFonts w:hint="eastAsia" w:ascii="仿宋_GB2312"/>
          <w:szCs w:val="32"/>
        </w:rPr>
      </w:pPr>
      <w:r>
        <w:rPr>
          <w:rFonts w:hint="eastAsia" w:ascii="仿宋_GB2312"/>
          <w:szCs w:val="32"/>
        </w:rPr>
        <w:t>5.在荣誉表彰、评先评优、品牌创建、重点发展项目时优先考虑；</w:t>
      </w:r>
    </w:p>
    <w:p>
      <w:pPr>
        <w:overflowPunct w:val="0"/>
        <w:spacing w:line="580" w:lineRule="exact"/>
        <w:ind w:firstLine="640" w:firstLineChars="200"/>
        <w:rPr>
          <w:rFonts w:hint="eastAsia" w:ascii="仿宋_GB2312"/>
          <w:szCs w:val="32"/>
        </w:rPr>
      </w:pPr>
      <w:r>
        <w:rPr>
          <w:rFonts w:hint="eastAsia" w:ascii="仿宋_GB2312"/>
          <w:szCs w:val="32"/>
        </w:rPr>
        <w:t>6.法律、法规、规章规定可以采取的其他激励性措施。</w:t>
      </w:r>
    </w:p>
    <w:p>
      <w:pPr>
        <w:overflowPunct w:val="0"/>
        <w:spacing w:line="580" w:lineRule="exact"/>
        <w:ind w:firstLine="640" w:firstLineChars="200"/>
        <w:rPr>
          <w:rFonts w:hint="eastAsia" w:ascii="楷体_GB2312" w:eastAsia="楷体_GB2312"/>
          <w:szCs w:val="32"/>
        </w:rPr>
      </w:pPr>
      <w:r>
        <w:rPr>
          <w:rFonts w:hint="eastAsia" w:ascii="楷体_GB2312" w:eastAsia="楷体_GB2312"/>
          <w:szCs w:val="32"/>
        </w:rPr>
        <w:t>（三）交通运输部门对D级道路运输企业，纳入行业重点关注对象名单，可以采取下列监管措施：</w:t>
      </w:r>
    </w:p>
    <w:p>
      <w:pPr>
        <w:overflowPunct w:val="0"/>
        <w:spacing w:line="580" w:lineRule="exact"/>
        <w:ind w:firstLine="640" w:firstLineChars="200"/>
        <w:rPr>
          <w:rFonts w:hint="eastAsia" w:ascii="仿宋_GB2312"/>
          <w:szCs w:val="32"/>
        </w:rPr>
      </w:pPr>
      <w:r>
        <w:rPr>
          <w:rFonts w:hint="eastAsia" w:ascii="仿宋_GB2312"/>
          <w:szCs w:val="32"/>
        </w:rPr>
        <w:t>1.交通运输部门在实施行政许可等工作中，列为重点审查对象；</w:t>
      </w:r>
    </w:p>
    <w:p>
      <w:pPr>
        <w:overflowPunct w:val="0"/>
        <w:spacing w:line="580" w:lineRule="exact"/>
        <w:ind w:firstLine="640" w:firstLineChars="200"/>
        <w:rPr>
          <w:rFonts w:hint="eastAsia" w:ascii="仿宋_GB2312"/>
          <w:szCs w:val="32"/>
        </w:rPr>
      </w:pPr>
      <w:r>
        <w:rPr>
          <w:rFonts w:hint="eastAsia" w:ascii="仿宋_GB2312"/>
          <w:szCs w:val="32"/>
        </w:rPr>
        <w:t>2.在行政管理中，取消已享受的行政便利措施；</w:t>
      </w:r>
    </w:p>
    <w:p>
      <w:pPr>
        <w:overflowPunct w:val="0"/>
        <w:spacing w:line="580" w:lineRule="exact"/>
        <w:ind w:firstLine="640" w:firstLineChars="200"/>
        <w:rPr>
          <w:rFonts w:hint="eastAsia" w:ascii="仿宋_GB2312"/>
          <w:szCs w:val="32"/>
        </w:rPr>
      </w:pPr>
      <w:r>
        <w:rPr>
          <w:rFonts w:hint="eastAsia" w:ascii="仿宋_GB2312"/>
          <w:szCs w:val="32"/>
        </w:rPr>
        <w:t>3.在日常监督检查中，列为重点监督检查对象，加强现场检查；</w:t>
      </w:r>
    </w:p>
    <w:p>
      <w:pPr>
        <w:overflowPunct w:val="0"/>
        <w:spacing w:line="580" w:lineRule="exact"/>
        <w:ind w:firstLine="640" w:firstLineChars="200"/>
        <w:rPr>
          <w:rFonts w:hint="eastAsia" w:ascii="仿宋_GB2312"/>
          <w:szCs w:val="32"/>
        </w:rPr>
      </w:pPr>
      <w:r>
        <w:rPr>
          <w:rFonts w:hint="eastAsia" w:ascii="仿宋_GB2312"/>
          <w:szCs w:val="32"/>
        </w:rPr>
        <w:t>4.其他依据有关规定可以采取的监管措施。</w:t>
      </w:r>
    </w:p>
    <w:p>
      <w:pPr>
        <w:overflowPunct w:val="0"/>
        <w:spacing w:line="580" w:lineRule="exact"/>
        <w:ind w:firstLine="640" w:firstLineChars="200"/>
        <w:rPr>
          <w:rFonts w:eastAsia="楷体_GB2312"/>
          <w:szCs w:val="32"/>
        </w:rPr>
      </w:pPr>
      <w:r>
        <w:rPr>
          <w:rFonts w:eastAsia="楷体_GB2312"/>
          <w:szCs w:val="32"/>
        </w:rPr>
        <w:t>（四）交通运输部门对列入黑名单的当事人，应当采取下列惩戒性措施</w:t>
      </w:r>
    </w:p>
    <w:p>
      <w:pPr>
        <w:overflowPunct w:val="0"/>
        <w:spacing w:line="580" w:lineRule="exact"/>
        <w:ind w:firstLine="640" w:firstLineChars="200"/>
        <w:rPr>
          <w:rFonts w:hint="eastAsia" w:ascii="仿宋_GB2312"/>
          <w:szCs w:val="32"/>
        </w:rPr>
      </w:pPr>
      <w:r>
        <w:rPr>
          <w:rFonts w:hint="eastAsia" w:ascii="仿宋_GB2312"/>
          <w:szCs w:val="32"/>
        </w:rPr>
        <w:t>1.依法实施市场和行业禁入（退出）措施；</w:t>
      </w:r>
    </w:p>
    <w:p>
      <w:pPr>
        <w:overflowPunct w:val="0"/>
        <w:spacing w:line="580" w:lineRule="exact"/>
        <w:ind w:firstLine="640" w:firstLineChars="200"/>
        <w:rPr>
          <w:rFonts w:hint="eastAsia" w:ascii="仿宋_GB2312"/>
          <w:szCs w:val="32"/>
        </w:rPr>
      </w:pPr>
      <w:r>
        <w:rPr>
          <w:rFonts w:hint="eastAsia" w:ascii="仿宋_GB2312"/>
          <w:szCs w:val="32"/>
        </w:rPr>
        <w:t>2.对隐瞒有关情况或者提供虚假材料申请行政许可而被列入黑名单的，不予受理或者不予行政许可；行政许可申请属于直接关系公共安全、人身健康、生命财产安全事项的，申请人在一年内不得再次申请该行政许可；</w:t>
      </w:r>
    </w:p>
    <w:p>
      <w:pPr>
        <w:overflowPunct w:val="0"/>
        <w:spacing w:line="580" w:lineRule="exact"/>
        <w:ind w:firstLine="640" w:firstLineChars="200"/>
        <w:rPr>
          <w:rFonts w:hint="eastAsia" w:ascii="仿宋_GB2312"/>
          <w:szCs w:val="32"/>
        </w:rPr>
      </w:pPr>
      <w:r>
        <w:rPr>
          <w:rFonts w:hint="eastAsia" w:ascii="仿宋_GB2312"/>
          <w:szCs w:val="32"/>
        </w:rPr>
        <w:t>3.对以欺骗、贿赂等不正当手段取得行政许可而被列入黑名单的，依法给予行政处罚；取得的行政许可属于直接关系公共安全、人身健康、生命财产安全事项的，申请人在三年内不得再次申请该行政许可；</w:t>
      </w:r>
    </w:p>
    <w:p>
      <w:pPr>
        <w:overflowPunct w:val="0"/>
        <w:spacing w:line="580" w:lineRule="exact"/>
        <w:ind w:firstLine="640" w:firstLineChars="200"/>
        <w:rPr>
          <w:rFonts w:hint="eastAsia" w:ascii="仿宋_GB2312"/>
          <w:szCs w:val="32"/>
        </w:rPr>
      </w:pPr>
      <w:r>
        <w:rPr>
          <w:rFonts w:hint="eastAsia" w:ascii="仿宋_GB2312"/>
          <w:szCs w:val="32"/>
        </w:rPr>
        <w:t>4.限制参加国家机关组织的各类表彰奖励活动；</w:t>
      </w:r>
    </w:p>
    <w:p>
      <w:pPr>
        <w:overflowPunct w:val="0"/>
        <w:spacing w:line="580" w:lineRule="exact"/>
        <w:ind w:firstLine="640" w:firstLineChars="200"/>
        <w:rPr>
          <w:rFonts w:hint="eastAsia" w:ascii="仿宋_GB2312"/>
          <w:szCs w:val="32"/>
        </w:rPr>
      </w:pPr>
      <w:r>
        <w:rPr>
          <w:rFonts w:hint="eastAsia" w:ascii="仿宋_GB2312"/>
          <w:szCs w:val="32"/>
        </w:rPr>
        <w:t>5.限制参加政府采购，政府投资项目招标投标，国有土地招标、拍卖、挂牌等公共资源交易活动；</w:t>
      </w:r>
    </w:p>
    <w:p>
      <w:pPr>
        <w:overflowPunct w:val="0"/>
        <w:spacing w:line="580" w:lineRule="exact"/>
        <w:ind w:firstLine="640" w:firstLineChars="200"/>
        <w:rPr>
          <w:rFonts w:hint="eastAsia" w:ascii="仿宋_GB2312"/>
          <w:szCs w:val="32"/>
        </w:rPr>
      </w:pPr>
      <w:r>
        <w:rPr>
          <w:rFonts w:hint="eastAsia" w:ascii="仿宋_GB2312"/>
          <w:szCs w:val="32"/>
        </w:rPr>
        <w:t>6.限制参与基础设施和公共事业特许经营活动；</w:t>
      </w:r>
    </w:p>
    <w:p>
      <w:pPr>
        <w:overflowPunct w:val="0"/>
        <w:spacing w:line="580" w:lineRule="exact"/>
        <w:ind w:firstLine="640" w:firstLineChars="200"/>
        <w:rPr>
          <w:rFonts w:hint="eastAsia" w:ascii="仿宋_GB2312"/>
          <w:szCs w:val="32"/>
        </w:rPr>
      </w:pPr>
      <w:r>
        <w:rPr>
          <w:rFonts w:hint="eastAsia" w:ascii="仿宋_GB2312"/>
          <w:szCs w:val="32"/>
        </w:rPr>
        <w:t>7.限制享受财政资金补助等政策扶持；</w:t>
      </w:r>
    </w:p>
    <w:p>
      <w:pPr>
        <w:overflowPunct w:val="0"/>
        <w:spacing w:line="580" w:lineRule="exact"/>
        <w:ind w:firstLine="640" w:firstLineChars="200"/>
        <w:rPr>
          <w:rFonts w:hint="eastAsia" w:ascii="仿宋_GB2312"/>
          <w:szCs w:val="32"/>
        </w:rPr>
      </w:pPr>
      <w:r>
        <w:rPr>
          <w:rFonts w:hint="eastAsia" w:ascii="仿宋_GB2312"/>
          <w:szCs w:val="32"/>
        </w:rPr>
        <w:t>8.法律、法规、规章规定可以采取的其他措施。</w:t>
      </w:r>
    </w:p>
    <w:p>
      <w:pPr>
        <w:overflowPunct w:val="0"/>
        <w:spacing w:line="580" w:lineRule="exact"/>
        <w:ind w:firstLine="640" w:firstLineChars="200"/>
        <w:rPr>
          <w:rFonts w:eastAsia="楷体_GB2312"/>
          <w:szCs w:val="32"/>
        </w:rPr>
      </w:pPr>
      <w:r>
        <w:rPr>
          <w:rFonts w:eastAsia="楷体_GB2312"/>
          <w:szCs w:val="32"/>
        </w:rPr>
        <w:t>（五）市级交通运输主管部门结合本地本系统实际情况，可依法依规出台对企业信用评价结果的激励、监管、惩戒措施。</w:t>
      </w:r>
    </w:p>
    <w:p>
      <w:pPr>
        <w:overflowPunct w:val="0"/>
        <w:spacing w:line="580" w:lineRule="exact"/>
        <w:ind w:firstLine="640" w:firstLineChars="200"/>
        <w:rPr>
          <w:rFonts w:hint="eastAsia"/>
          <w:szCs w:val="32"/>
        </w:rPr>
      </w:pPr>
    </w:p>
    <w:p>
      <w:pPr>
        <w:overflowPunct w:val="0"/>
        <w:spacing w:line="580" w:lineRule="exact"/>
        <w:ind w:firstLine="640" w:firstLineChars="200"/>
        <w:rPr>
          <w:rFonts w:hint="eastAsia" w:ascii="仿宋_GB2312"/>
          <w:szCs w:val="32"/>
        </w:rPr>
      </w:pPr>
      <w:r>
        <w:rPr>
          <w:rFonts w:hint="eastAsia" w:ascii="仿宋_GB2312"/>
          <w:szCs w:val="32"/>
        </w:rPr>
        <w:t>附表：1-1.道路旅客运输企业信用评价标准</w:t>
      </w:r>
    </w:p>
    <w:p>
      <w:pPr>
        <w:overflowPunct w:val="0"/>
        <w:spacing w:line="580" w:lineRule="exact"/>
        <w:ind w:firstLine="1600" w:firstLineChars="500"/>
        <w:rPr>
          <w:rFonts w:hint="eastAsia" w:ascii="仿宋_GB2312"/>
          <w:szCs w:val="32"/>
        </w:rPr>
      </w:pPr>
      <w:r>
        <w:rPr>
          <w:rFonts w:hint="eastAsia" w:ascii="仿宋_GB2312"/>
          <w:szCs w:val="32"/>
        </w:rPr>
        <w:t>1-2.城市公共汽车客运企业信用评价标准</w:t>
      </w:r>
    </w:p>
    <w:p>
      <w:pPr>
        <w:overflowPunct w:val="0"/>
        <w:spacing w:line="580" w:lineRule="exact"/>
        <w:ind w:firstLine="1600" w:firstLineChars="500"/>
        <w:rPr>
          <w:rFonts w:hint="eastAsia" w:ascii="仿宋_GB2312"/>
          <w:szCs w:val="32"/>
        </w:rPr>
      </w:pPr>
      <w:r>
        <w:rPr>
          <w:rFonts w:hint="eastAsia" w:ascii="仿宋_GB2312"/>
          <w:szCs w:val="32"/>
        </w:rPr>
        <w:t>1-3.出租汽车企业信用评价标准</w:t>
      </w:r>
    </w:p>
    <w:p>
      <w:pPr>
        <w:overflowPunct w:val="0"/>
        <w:spacing w:line="580" w:lineRule="exact"/>
        <w:ind w:firstLine="1600" w:firstLineChars="500"/>
        <w:rPr>
          <w:rFonts w:hint="eastAsia" w:ascii="仿宋_GB2312"/>
          <w:szCs w:val="32"/>
        </w:rPr>
      </w:pPr>
      <w:r>
        <w:rPr>
          <w:rFonts w:hint="eastAsia" w:ascii="仿宋_GB2312"/>
          <w:szCs w:val="32"/>
        </w:rPr>
        <w:t>1-4.道路普通货物运输企业信用评价标准</w:t>
      </w:r>
    </w:p>
    <w:p>
      <w:pPr>
        <w:overflowPunct w:val="0"/>
        <w:spacing w:line="580" w:lineRule="exact"/>
        <w:ind w:firstLine="1600" w:firstLineChars="500"/>
        <w:rPr>
          <w:rFonts w:hint="eastAsia" w:ascii="仿宋_GB2312"/>
          <w:szCs w:val="32"/>
        </w:rPr>
      </w:pPr>
      <w:r>
        <w:rPr>
          <w:rFonts w:hint="eastAsia" w:ascii="仿宋_GB2312"/>
          <w:szCs w:val="32"/>
        </w:rPr>
        <w:t>1-5.道路危险货物运输企业信用评价标准</w:t>
      </w:r>
    </w:p>
    <w:p>
      <w:pPr>
        <w:overflowPunct w:val="0"/>
        <w:spacing w:line="580" w:lineRule="exact"/>
        <w:ind w:firstLine="1600" w:firstLineChars="500"/>
        <w:rPr>
          <w:rFonts w:hint="eastAsia" w:ascii="仿宋_GB2312"/>
          <w:szCs w:val="32"/>
        </w:rPr>
      </w:pPr>
      <w:r>
        <w:rPr>
          <w:rFonts w:hint="eastAsia" w:ascii="仿宋_GB2312"/>
          <w:szCs w:val="32"/>
        </w:rPr>
        <w:t>1-6.机动车驾驶员培训机构信用评价标准</w:t>
      </w:r>
    </w:p>
    <w:p>
      <w:pPr>
        <w:overflowPunct w:val="0"/>
        <w:spacing w:line="580" w:lineRule="exact"/>
        <w:ind w:firstLine="1600" w:firstLineChars="500"/>
        <w:rPr>
          <w:rFonts w:hint="eastAsia" w:ascii="仿宋_GB2312"/>
          <w:szCs w:val="32"/>
        </w:rPr>
      </w:pPr>
      <w:r>
        <w:rPr>
          <w:rFonts w:hint="eastAsia" w:ascii="仿宋_GB2312"/>
          <w:szCs w:val="32"/>
        </w:rPr>
        <w:t>1-7.机动车维修企业信用评价标准</w:t>
      </w:r>
    </w:p>
    <w:p>
      <w:pPr>
        <w:overflowPunct w:val="0"/>
        <w:spacing w:line="580" w:lineRule="exact"/>
        <w:ind w:firstLine="1600" w:firstLineChars="500"/>
        <w:rPr>
          <w:rFonts w:hint="eastAsia" w:ascii="仿宋_GB2312"/>
          <w:szCs w:val="32"/>
        </w:rPr>
      </w:pPr>
      <w:r>
        <w:rPr>
          <w:rFonts w:hint="eastAsia" w:ascii="仿宋_GB2312"/>
          <w:szCs w:val="32"/>
        </w:rPr>
        <w:t>1-8.道路客运站（场）信用评价标准</w:t>
      </w:r>
    </w:p>
    <w:p>
      <w:pPr>
        <w:overflowPunct w:val="0"/>
        <w:spacing w:line="580" w:lineRule="exact"/>
        <w:ind w:firstLine="1600" w:firstLineChars="500"/>
        <w:rPr>
          <w:rFonts w:hint="eastAsia" w:ascii="仿宋_GB2312"/>
          <w:szCs w:val="32"/>
        </w:rPr>
      </w:pPr>
      <w:r>
        <w:rPr>
          <w:rFonts w:hint="eastAsia" w:ascii="仿宋_GB2312"/>
          <w:szCs w:val="32"/>
        </w:rPr>
        <w:t>1-9.道路货运站（场）信用评价标准</w:t>
      </w:r>
    </w:p>
    <w:p>
      <w:pPr>
        <w:overflowPunct w:val="0"/>
        <w:spacing w:line="580" w:lineRule="exact"/>
        <w:ind w:firstLine="1600" w:firstLineChars="500"/>
        <w:rPr>
          <w:rFonts w:hint="eastAsia" w:ascii="仿宋_GB2312"/>
          <w:szCs w:val="32"/>
        </w:rPr>
      </w:pPr>
      <w:r>
        <w:rPr>
          <w:rFonts w:hint="eastAsia" w:ascii="仿宋_GB2312"/>
          <w:szCs w:val="32"/>
        </w:rPr>
        <w:t>1-10.汽车综合性能检测站信用评价标准</w:t>
      </w:r>
    </w:p>
    <w:p>
      <w:pPr>
        <w:overflowPunct w:val="0"/>
        <w:spacing w:line="590" w:lineRule="exact"/>
        <w:rPr>
          <w:rFonts w:ascii="黑体" w:hAnsi="黑体" w:eastAsia="黑体"/>
          <w:szCs w:val="32"/>
        </w:rPr>
      </w:pPr>
      <w:r>
        <w:rPr>
          <w:bCs/>
          <w:smallCaps/>
          <w:szCs w:val="32"/>
        </w:rPr>
        <w:br w:type="page"/>
      </w:r>
      <w:r>
        <w:rPr>
          <w:rFonts w:ascii="黑体" w:hAnsi="黑体" w:eastAsia="黑体"/>
          <w:szCs w:val="32"/>
        </w:rPr>
        <w:t>附表1</w:t>
      </w:r>
      <w:r>
        <w:rPr>
          <w:rFonts w:hint="eastAsia" w:ascii="黑体" w:hAnsi="黑体" w:eastAsia="黑体"/>
          <w:szCs w:val="32"/>
        </w:rPr>
        <w:t>-1</w:t>
      </w:r>
    </w:p>
    <w:p>
      <w:pPr>
        <w:overflowPunct w:val="0"/>
        <w:spacing w:line="590" w:lineRule="exact"/>
        <w:ind w:firstLine="640" w:firstLineChars="200"/>
        <w:rPr>
          <w:szCs w:val="32"/>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道路旅客运输企业信用评价标准</w:t>
      </w:r>
    </w:p>
    <w:p>
      <w:pPr>
        <w:overflowPunct w:val="0"/>
        <w:spacing w:line="59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76"/>
        <w:gridCol w:w="613"/>
        <w:gridCol w:w="1000"/>
        <w:gridCol w:w="1441"/>
        <w:gridCol w:w="971"/>
        <w:gridCol w:w="2769"/>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76" w:type="dxa"/>
            <w:noWrap w:val="0"/>
            <w:vAlign w:val="center"/>
          </w:tcPr>
          <w:p>
            <w:pPr>
              <w:overflowPunct w:val="0"/>
              <w:contextualSpacing/>
              <w:jc w:val="center"/>
              <w:rPr>
                <w:rFonts w:ascii="黑体" w:hAnsi="黑体" w:eastAsia="黑体"/>
                <w:bCs/>
                <w:sz w:val="24"/>
                <w:szCs w:val="24"/>
              </w:rPr>
            </w:pPr>
            <w:r>
              <w:rPr>
                <w:rFonts w:ascii="黑体" w:hAnsi="黑体" w:eastAsia="黑体"/>
                <w:bCs/>
                <w:sz w:val="24"/>
                <w:szCs w:val="24"/>
              </w:rPr>
              <w:t>序号</w:t>
            </w:r>
          </w:p>
        </w:tc>
        <w:tc>
          <w:tcPr>
            <w:tcW w:w="613" w:type="dxa"/>
            <w:noWrap w:val="0"/>
            <w:vAlign w:val="center"/>
          </w:tcPr>
          <w:p>
            <w:pPr>
              <w:overflowPunct w:val="0"/>
              <w:contextualSpacing/>
              <w:jc w:val="center"/>
              <w:rPr>
                <w:rFonts w:ascii="黑体" w:hAnsi="黑体" w:eastAsia="黑体"/>
                <w:bCs/>
                <w:sz w:val="24"/>
                <w:szCs w:val="24"/>
              </w:rPr>
            </w:pPr>
            <w:r>
              <w:rPr>
                <w:rFonts w:ascii="黑体" w:hAnsi="黑体" w:eastAsia="黑体"/>
                <w:bCs/>
                <w:sz w:val="24"/>
                <w:szCs w:val="24"/>
              </w:rPr>
              <w:t>一级指标</w:t>
            </w:r>
          </w:p>
        </w:tc>
        <w:tc>
          <w:tcPr>
            <w:tcW w:w="1000" w:type="dxa"/>
            <w:noWrap w:val="0"/>
            <w:vAlign w:val="center"/>
          </w:tcPr>
          <w:p>
            <w:pPr>
              <w:overflowPunct w:val="0"/>
              <w:contextualSpacing/>
              <w:jc w:val="center"/>
              <w:rPr>
                <w:rFonts w:ascii="黑体" w:hAnsi="黑体" w:eastAsia="黑体"/>
                <w:bCs/>
                <w:sz w:val="24"/>
                <w:szCs w:val="24"/>
              </w:rPr>
            </w:pPr>
            <w:r>
              <w:rPr>
                <w:rFonts w:ascii="黑体" w:hAnsi="黑体" w:eastAsia="黑体"/>
                <w:bCs/>
                <w:sz w:val="24"/>
                <w:szCs w:val="24"/>
              </w:rPr>
              <w:t>一级指标分值</w:t>
            </w:r>
          </w:p>
        </w:tc>
        <w:tc>
          <w:tcPr>
            <w:tcW w:w="1441" w:type="dxa"/>
            <w:noWrap w:val="0"/>
            <w:vAlign w:val="center"/>
          </w:tcPr>
          <w:p>
            <w:pPr>
              <w:overflowPunct w:val="0"/>
              <w:contextualSpacing/>
              <w:jc w:val="center"/>
              <w:rPr>
                <w:rFonts w:ascii="黑体" w:hAnsi="黑体" w:eastAsia="黑体"/>
                <w:bCs/>
                <w:sz w:val="24"/>
                <w:szCs w:val="24"/>
              </w:rPr>
            </w:pPr>
            <w:r>
              <w:rPr>
                <w:rFonts w:ascii="黑体" w:hAnsi="黑体" w:eastAsia="黑体"/>
                <w:bCs/>
                <w:sz w:val="24"/>
                <w:szCs w:val="24"/>
              </w:rPr>
              <w:t>二级指标</w:t>
            </w:r>
          </w:p>
        </w:tc>
        <w:tc>
          <w:tcPr>
            <w:tcW w:w="971" w:type="dxa"/>
            <w:noWrap w:val="0"/>
            <w:vAlign w:val="center"/>
          </w:tcPr>
          <w:p>
            <w:pPr>
              <w:overflowPunct w:val="0"/>
              <w:contextualSpacing/>
              <w:jc w:val="center"/>
              <w:rPr>
                <w:rFonts w:ascii="黑体" w:hAnsi="黑体" w:eastAsia="黑体"/>
                <w:bCs/>
                <w:sz w:val="24"/>
                <w:szCs w:val="24"/>
              </w:rPr>
            </w:pPr>
            <w:r>
              <w:rPr>
                <w:rFonts w:ascii="黑体" w:hAnsi="黑体" w:eastAsia="黑体"/>
                <w:bCs/>
                <w:sz w:val="24"/>
                <w:szCs w:val="24"/>
              </w:rPr>
              <w:t>二级指标分值</w:t>
            </w:r>
          </w:p>
        </w:tc>
        <w:tc>
          <w:tcPr>
            <w:tcW w:w="2769" w:type="dxa"/>
            <w:noWrap w:val="0"/>
            <w:vAlign w:val="center"/>
          </w:tcPr>
          <w:p>
            <w:pPr>
              <w:overflowPunct w:val="0"/>
              <w:contextualSpacing/>
              <w:jc w:val="center"/>
              <w:rPr>
                <w:rFonts w:ascii="黑体" w:hAnsi="黑体" w:eastAsia="黑体"/>
                <w:bCs/>
                <w:sz w:val="24"/>
                <w:szCs w:val="24"/>
              </w:rPr>
            </w:pPr>
            <w:r>
              <w:rPr>
                <w:rFonts w:ascii="黑体" w:hAnsi="黑体" w:eastAsia="黑体"/>
                <w:bCs/>
                <w:sz w:val="24"/>
                <w:szCs w:val="24"/>
              </w:rPr>
              <w:t>评分标准</w:t>
            </w:r>
          </w:p>
        </w:tc>
        <w:tc>
          <w:tcPr>
            <w:tcW w:w="1275" w:type="dxa"/>
            <w:noWrap w:val="0"/>
            <w:tcMar>
              <w:left w:w="28" w:type="dxa"/>
              <w:right w:w="28" w:type="dxa"/>
            </w:tcMar>
            <w:vAlign w:val="center"/>
          </w:tcPr>
          <w:p>
            <w:pPr>
              <w:overflowPunct w:val="0"/>
              <w:contextualSpacing/>
              <w:jc w:val="center"/>
              <w:rPr>
                <w:rFonts w:ascii="黑体" w:hAnsi="黑体" w:eastAsia="黑体"/>
                <w:bCs/>
                <w:sz w:val="24"/>
                <w:szCs w:val="24"/>
              </w:rPr>
            </w:pPr>
            <w:r>
              <w:rPr>
                <w:rFonts w:ascii="黑体" w:hAnsi="黑体" w:eastAsia="黑体"/>
                <w:bCs/>
                <w:sz w:val="24"/>
                <w:szCs w:val="24"/>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54"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13"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1000"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信用承诺履行情况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70"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13" w:type="dxa"/>
            <w:vMerge w:val="restart"/>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市场信用</w:t>
            </w:r>
          </w:p>
        </w:tc>
        <w:tc>
          <w:tcPr>
            <w:tcW w:w="1000" w:type="dxa"/>
            <w:vMerge w:val="restart"/>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350</w:t>
            </w: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综合监管平台中被责令整改率</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30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13"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000"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被综合监管通报负面信息情况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被省级综合监管通报负面情况的，每1期扣5分，扣完为止。</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47"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13"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000"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被交通运输部门行政处罚情况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每0.01次/车扣4分，扣完为止。</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21"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13"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000"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履行行业主管部门政策情况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发现未履行行业主管部门有关政策要求的，每项扣50分，扣完为止。</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65"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13" w:type="dxa"/>
            <w:vMerge w:val="restart"/>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服务信用</w:t>
            </w:r>
          </w:p>
        </w:tc>
        <w:tc>
          <w:tcPr>
            <w:tcW w:w="1000" w:type="dxa"/>
            <w:vMerge w:val="restart"/>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被投诉案件情况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被投诉及社会监督组织发现问题且属实的，1次扣3分，扣完为止。</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09"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13"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000"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被媒体曝光负面事件情况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被新闻媒体曝光的，每次扣10分，情节特别恶劣的，扣50分，扣完为止。</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13" w:type="dxa"/>
            <w:vMerge w:val="restart"/>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1000" w:type="dxa"/>
            <w:vMerge w:val="restart"/>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建成安全生产标准化企业情况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30</w:t>
            </w:r>
          </w:p>
        </w:tc>
        <w:tc>
          <w:tcPr>
            <w:tcW w:w="2769" w:type="dxa"/>
            <w:noWrap w:val="0"/>
            <w:tcMar>
              <w:top w:w="68" w:type="dxa"/>
              <w:bottom w:w="68" w:type="dxa"/>
            </w:tcMar>
            <w:vAlign w:val="center"/>
          </w:tcPr>
          <w:p>
            <w:pPr>
              <w:tabs>
                <w:tab w:val="left" w:pos="633"/>
              </w:tabs>
              <w:overflowPunct w:val="0"/>
              <w:contextualSpacing/>
              <w:rPr>
                <w:rFonts w:hint="eastAsia" w:ascii="仿宋_GB2312"/>
                <w:sz w:val="24"/>
                <w:szCs w:val="24"/>
              </w:rPr>
            </w:pPr>
            <w:r>
              <w:rPr>
                <w:rFonts w:hint="eastAsia" w:ascii="仿宋_GB2312"/>
                <w:sz w:val="24"/>
                <w:szCs w:val="24"/>
              </w:rPr>
              <w:t>三级达标企业得10分，二级达标企业得20分，一级达标企业得30分。</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613"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000" w:type="dxa"/>
            <w:vMerge w:val="continue"/>
            <w:noWrap w:val="0"/>
            <w:tcMar>
              <w:top w:w="68" w:type="dxa"/>
              <w:bottom w:w="68" w:type="dxa"/>
            </w:tcMar>
            <w:vAlign w:val="center"/>
          </w:tcPr>
          <w:p>
            <w:pPr>
              <w:overflowPunct w:val="0"/>
              <w:contextualSpacing/>
              <w:jc w:val="center"/>
              <w:rPr>
                <w:rFonts w:hint="eastAsia" w:ascii="仿宋_GB2312"/>
                <w:sz w:val="24"/>
                <w:szCs w:val="24"/>
              </w:rPr>
            </w:pPr>
          </w:p>
        </w:tc>
        <w:tc>
          <w:tcPr>
            <w:tcW w:w="1441"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车辆卫星定位装置应用情况</w:t>
            </w:r>
          </w:p>
        </w:tc>
        <w:tc>
          <w:tcPr>
            <w:tcW w:w="971" w:type="dxa"/>
            <w:noWrap w:val="0"/>
            <w:tcMar>
              <w:top w:w="68" w:type="dxa"/>
              <w:bottom w:w="68" w:type="dxa"/>
            </w:tcMar>
            <w:vAlign w:val="center"/>
          </w:tcPr>
          <w:p>
            <w:pPr>
              <w:overflowPunct w:val="0"/>
              <w:contextualSpacing/>
              <w:jc w:val="center"/>
              <w:rPr>
                <w:rFonts w:hint="eastAsia" w:ascii="仿宋_GB2312"/>
                <w:sz w:val="24"/>
                <w:szCs w:val="24"/>
              </w:rPr>
            </w:pPr>
            <w:r>
              <w:rPr>
                <w:rFonts w:hint="eastAsia" w:ascii="仿宋_GB2312"/>
                <w:sz w:val="24"/>
                <w:szCs w:val="24"/>
              </w:rPr>
              <w:t>30</w:t>
            </w:r>
          </w:p>
        </w:tc>
        <w:tc>
          <w:tcPr>
            <w:tcW w:w="2769" w:type="dxa"/>
            <w:noWrap w:val="0"/>
            <w:tcMar>
              <w:top w:w="68" w:type="dxa"/>
              <w:bottom w:w="68" w:type="dxa"/>
            </w:tcMar>
            <w:vAlign w:val="center"/>
          </w:tcPr>
          <w:p>
            <w:pPr>
              <w:overflowPunct w:val="0"/>
              <w:contextualSpacing/>
              <w:rPr>
                <w:rFonts w:hint="eastAsia" w:ascii="仿宋_GB2312"/>
                <w:sz w:val="24"/>
                <w:szCs w:val="24"/>
              </w:rPr>
            </w:pPr>
            <w:r>
              <w:rPr>
                <w:rFonts w:hint="eastAsia" w:ascii="仿宋_GB2312"/>
                <w:sz w:val="24"/>
                <w:szCs w:val="24"/>
              </w:rPr>
              <w:t>安装率＜100%的，扣10分；入网率＜100%的，扣10分；合格率＜95%，扣10分。</w:t>
            </w:r>
          </w:p>
        </w:tc>
        <w:tc>
          <w:tcPr>
            <w:tcW w:w="1275" w:type="dxa"/>
            <w:noWrap w:val="0"/>
            <w:tcMar>
              <w:top w:w="68" w:type="dxa"/>
              <w:left w:w="28" w:type="dxa"/>
              <w:bottom w:w="6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43"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613"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1000"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智能视频监控报警装置安装情况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276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智能视频监控报警装置安装率＜100%的，扣10分。</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22"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6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000"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企业车辆超速驾驶情况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60</w:t>
            </w:r>
          </w:p>
        </w:tc>
        <w:tc>
          <w:tcPr>
            <w:tcW w:w="276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75"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6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000"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企业车辆疲劳驾驶情况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40</w:t>
            </w:r>
          </w:p>
        </w:tc>
        <w:tc>
          <w:tcPr>
            <w:tcW w:w="276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7"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13</w:t>
            </w:r>
          </w:p>
        </w:tc>
        <w:tc>
          <w:tcPr>
            <w:tcW w:w="6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000"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被公安机关交通管理部门行政处罚情况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6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公安厅交管</w:t>
            </w:r>
          </w:p>
          <w:p>
            <w:pPr>
              <w:overflowPunct w:val="0"/>
              <w:contextualSpacing/>
              <w:jc w:val="center"/>
              <w:rPr>
                <w:rFonts w:hint="eastAsia" w:ascii="仿宋_GB2312"/>
                <w:sz w:val="24"/>
                <w:szCs w:val="24"/>
              </w:rPr>
            </w:pPr>
            <w:r>
              <w:rPr>
                <w:rFonts w:hint="eastAsia" w:ascii="仿宋_GB2312"/>
                <w:sz w:val="24"/>
                <w:szCs w:val="24"/>
              </w:rPr>
              <w:t>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09"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14</w:t>
            </w:r>
          </w:p>
        </w:tc>
        <w:tc>
          <w:tcPr>
            <w:tcW w:w="6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000"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被列入重点安全监管企业名单情况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76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被省级管理部门列入重点安全监管企业名单的，扣100分；被市级管理部门列入重点安全监管企业名单的，扣50分。</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48"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15</w:t>
            </w:r>
          </w:p>
        </w:tc>
        <w:tc>
          <w:tcPr>
            <w:tcW w:w="6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000"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lang w:bidi="ar"/>
              </w:rPr>
              <w:t>发生行车事故情况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80</w:t>
            </w:r>
          </w:p>
        </w:tc>
        <w:tc>
          <w:tcPr>
            <w:tcW w:w="276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发生亡人事故但责任未确定或负次责的，每死亡1人扣10分；发生事故未造成人员死亡但引起社会较大关注的，每起扣10分，扣完为止。发生事故后瞒报信息的（超过7天未上报，视作瞒报），80分扣完。</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公安数据</w:t>
            </w:r>
          </w:p>
          <w:p>
            <w:pPr>
              <w:overflowPunct w:val="0"/>
              <w:contextualSpacing/>
              <w:jc w:val="center"/>
              <w:rPr>
                <w:rFonts w:hint="eastAsia" w:ascii="仿宋_GB2312"/>
                <w:sz w:val="24"/>
                <w:szCs w:val="24"/>
              </w:rPr>
            </w:pPr>
            <w:r>
              <w:rPr>
                <w:rFonts w:hint="eastAsia" w:ascii="仿宋_GB2312"/>
                <w:sz w:val="24"/>
                <w:szCs w:val="24"/>
              </w:rPr>
              <w:t>共享与行业</w:t>
            </w:r>
          </w:p>
          <w:p>
            <w:pPr>
              <w:overflowPunct w:val="0"/>
              <w:contextualSpacing/>
              <w:jc w:val="center"/>
              <w:rPr>
                <w:rFonts w:hint="eastAsia" w:ascii="仿宋_GB2312"/>
                <w:sz w:val="24"/>
                <w:szCs w:val="24"/>
              </w:rPr>
            </w:pPr>
            <w:r>
              <w:rPr>
                <w:rFonts w:hint="eastAsia" w:ascii="仿宋_GB2312"/>
                <w:sz w:val="24"/>
                <w:szCs w:val="24"/>
              </w:rPr>
              <w:t>内部数据</w:t>
            </w:r>
          </w:p>
          <w:p>
            <w:pPr>
              <w:overflowPunct w:val="0"/>
              <w:contextualSpacing/>
              <w:jc w:val="center"/>
              <w:rPr>
                <w:rFonts w:hint="eastAsia" w:ascii="仿宋_GB2312"/>
                <w:sz w:val="24"/>
                <w:szCs w:val="24"/>
              </w:rPr>
            </w:pPr>
            <w:r>
              <w:rPr>
                <w:rFonts w:hint="eastAsia" w:ascii="仿宋_GB2312"/>
                <w:sz w:val="24"/>
                <w:szCs w:val="24"/>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16</w:t>
            </w:r>
          </w:p>
        </w:tc>
        <w:tc>
          <w:tcPr>
            <w:tcW w:w="6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000"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发生行业</w:t>
            </w:r>
            <w:r>
              <w:rPr>
                <w:rFonts w:hint="eastAsia" w:ascii="仿宋_GB2312"/>
                <w:sz w:val="24"/>
                <w:szCs w:val="24"/>
                <w:lang w:val="zh-CN"/>
              </w:rPr>
              <w:t>同责以上亡人事故情况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400</w:t>
            </w:r>
            <w:r>
              <w:rPr>
                <w:rFonts w:ascii="仿宋_GB2312"/>
                <w:sz w:val="24"/>
                <w:szCs w:val="24"/>
              </w:rPr>
              <w:t xml:space="preserve"> </w:t>
            </w:r>
          </w:p>
        </w:tc>
        <w:tc>
          <w:tcPr>
            <w:tcW w:w="2769" w:type="dxa"/>
            <w:noWrap w:val="0"/>
            <w:tcMar>
              <w:top w:w="57" w:type="dxa"/>
              <w:bottom w:w="57" w:type="dxa"/>
            </w:tcMar>
            <w:vAlign w:val="center"/>
          </w:tcPr>
          <w:p>
            <w:pPr>
              <w:overflowPunct w:val="0"/>
              <w:contextualSpacing/>
              <w:jc w:val="left"/>
              <w:rPr>
                <w:rFonts w:hint="eastAsia" w:ascii="仿宋_GB2312"/>
                <w:sz w:val="24"/>
                <w:szCs w:val="24"/>
              </w:rPr>
            </w:pPr>
            <w:r>
              <w:rPr>
                <w:rFonts w:hint="eastAsia" w:ascii="仿宋_GB2312"/>
                <w:sz w:val="24"/>
                <w:szCs w:val="24"/>
                <w:lang w:val="zh-CN"/>
              </w:rPr>
              <w:t>发生同责以上亡人事故1-2人的</w:t>
            </w:r>
            <w:r>
              <w:rPr>
                <w:rFonts w:hint="eastAsia" w:ascii="仿宋_GB2312"/>
                <w:sz w:val="24"/>
                <w:szCs w:val="24"/>
              </w:rPr>
              <w:t>，每次扣100分；发生同责以上亡人事故3-9人的，每次扣200分，扣完为止。</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公安数据</w:t>
            </w:r>
          </w:p>
          <w:p>
            <w:pPr>
              <w:overflowPunct w:val="0"/>
              <w:contextualSpacing/>
              <w:jc w:val="center"/>
              <w:rPr>
                <w:rFonts w:hint="eastAsia" w:ascii="仿宋_GB2312"/>
                <w:sz w:val="24"/>
                <w:szCs w:val="24"/>
              </w:rPr>
            </w:pPr>
            <w:r>
              <w:rPr>
                <w:rFonts w:hint="eastAsia" w:ascii="仿宋_GB2312"/>
                <w:sz w:val="24"/>
                <w:szCs w:val="24"/>
              </w:rPr>
              <w:t>共享与行业内部数据</w:t>
            </w:r>
          </w:p>
          <w:p>
            <w:pPr>
              <w:overflowPunct w:val="0"/>
              <w:contextualSpacing/>
              <w:jc w:val="center"/>
              <w:rPr>
                <w:rFonts w:hint="eastAsia" w:ascii="仿宋_GB2312"/>
                <w:sz w:val="24"/>
                <w:szCs w:val="24"/>
              </w:rPr>
            </w:pPr>
            <w:r>
              <w:rPr>
                <w:rFonts w:hint="eastAsia" w:ascii="仿宋_GB2312"/>
                <w:sz w:val="24"/>
                <w:szCs w:val="24"/>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17</w:t>
            </w:r>
          </w:p>
        </w:tc>
        <w:tc>
          <w:tcPr>
            <w:tcW w:w="6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000"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44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被处以停业整顿情况</w:t>
            </w:r>
          </w:p>
        </w:tc>
        <w:tc>
          <w:tcPr>
            <w:tcW w:w="97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276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因存在严重安全隐患，被勒令停业整顿的，每发生一次扣100分，扣完为止。</w:t>
            </w:r>
          </w:p>
        </w:tc>
        <w:tc>
          <w:tcPr>
            <w:tcW w:w="1275" w:type="dxa"/>
            <w:noWrap w:val="0"/>
            <w:tcMar>
              <w:top w:w="57" w:type="dxa"/>
              <w:left w:w="28" w:type="dxa"/>
              <w:bottom w:w="57"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vAlign w:val="center"/>
          </w:tcPr>
          <w:p>
            <w:pPr>
              <w:overflowPunct w:val="0"/>
              <w:contextualSpacing/>
              <w:jc w:val="center"/>
              <w:rPr>
                <w:rFonts w:hint="eastAsia" w:ascii="仿宋_GB2312"/>
                <w:sz w:val="24"/>
                <w:szCs w:val="24"/>
              </w:rPr>
            </w:pPr>
            <w:r>
              <w:rPr>
                <w:rFonts w:hint="eastAsia" w:ascii="仿宋_GB2312"/>
                <w:sz w:val="24"/>
                <w:szCs w:val="24"/>
              </w:rPr>
              <w:t>18</w:t>
            </w:r>
          </w:p>
        </w:tc>
        <w:tc>
          <w:tcPr>
            <w:tcW w:w="613" w:type="dxa"/>
            <w:noWrap w:val="0"/>
            <w:vAlign w:val="center"/>
          </w:tcPr>
          <w:p>
            <w:pPr>
              <w:overflowPunct w:val="0"/>
              <w:contextualSpacing/>
              <w:jc w:val="center"/>
              <w:rPr>
                <w:rFonts w:hint="eastAsia" w:ascii="仿宋_GB2312"/>
                <w:sz w:val="24"/>
                <w:szCs w:val="24"/>
              </w:rPr>
            </w:pPr>
            <w:r>
              <w:rPr>
                <w:rFonts w:hint="eastAsia" w:ascii="仿宋_GB2312"/>
                <w:sz w:val="24"/>
                <w:szCs w:val="24"/>
              </w:rPr>
              <w:t>公共信用</w:t>
            </w:r>
          </w:p>
        </w:tc>
        <w:tc>
          <w:tcPr>
            <w:tcW w:w="1000" w:type="dxa"/>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41" w:type="dxa"/>
            <w:noWrap w:val="0"/>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971" w:type="dxa"/>
            <w:noWrap w:val="0"/>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2769" w:type="dxa"/>
            <w:noWrap w:val="0"/>
            <w:vAlign w:val="center"/>
          </w:tcPr>
          <w:p>
            <w:pPr>
              <w:overflowPunct w:val="0"/>
              <w:contextualSpacing/>
              <w:rPr>
                <w:rFonts w:hint="eastAsia" w:ascii="仿宋_GB2312"/>
                <w:sz w:val="24"/>
                <w:szCs w:val="24"/>
              </w:rPr>
            </w:pPr>
            <w:r>
              <w:rPr>
                <w:rFonts w:hint="eastAsia" w:ascii="仿宋_GB2312"/>
                <w:sz w:val="24"/>
                <w:szCs w:val="24"/>
              </w:rPr>
              <w:t>根据省信用办提供的企业公共信用分值按比例进行换算。</w:t>
            </w:r>
          </w:p>
        </w:tc>
        <w:tc>
          <w:tcPr>
            <w:tcW w:w="1275" w:type="dxa"/>
            <w:noWrap w:val="0"/>
            <w:tcMar>
              <w:left w:w="2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省大数据局</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vAlign w:val="center"/>
          </w:tcPr>
          <w:p>
            <w:pPr>
              <w:overflowPunct w:val="0"/>
              <w:contextualSpacing/>
              <w:jc w:val="center"/>
              <w:rPr>
                <w:rFonts w:hint="eastAsia" w:ascii="仿宋_GB2312"/>
                <w:sz w:val="24"/>
                <w:szCs w:val="24"/>
              </w:rPr>
            </w:pPr>
            <w:r>
              <w:rPr>
                <w:rFonts w:hint="eastAsia" w:ascii="仿宋_GB2312"/>
                <w:sz w:val="24"/>
                <w:szCs w:val="24"/>
              </w:rPr>
              <w:t>19</w:t>
            </w:r>
          </w:p>
        </w:tc>
        <w:tc>
          <w:tcPr>
            <w:tcW w:w="613"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加</w:t>
            </w:r>
          </w:p>
          <w:p>
            <w:pPr>
              <w:overflowPunct w:val="0"/>
              <w:contextualSpacing/>
              <w:jc w:val="center"/>
              <w:rPr>
                <w:rFonts w:hint="eastAsia" w:ascii="仿宋_GB2312"/>
                <w:sz w:val="24"/>
                <w:szCs w:val="24"/>
              </w:rPr>
            </w:pPr>
            <w:r>
              <w:rPr>
                <w:rFonts w:hint="eastAsia" w:ascii="仿宋_GB2312"/>
                <w:sz w:val="24"/>
                <w:szCs w:val="24"/>
              </w:rPr>
              <w:t>分</w:t>
            </w:r>
          </w:p>
          <w:p>
            <w:pPr>
              <w:overflowPunct w:val="0"/>
              <w:contextualSpacing/>
              <w:jc w:val="center"/>
              <w:rPr>
                <w:rFonts w:hint="eastAsia" w:ascii="仿宋_GB2312"/>
                <w:sz w:val="24"/>
                <w:szCs w:val="24"/>
              </w:rPr>
            </w:pPr>
            <w:r>
              <w:rPr>
                <w:rFonts w:hint="eastAsia" w:ascii="仿宋_GB2312"/>
                <w:sz w:val="24"/>
                <w:szCs w:val="24"/>
              </w:rPr>
              <w:t>项</w:t>
            </w:r>
          </w:p>
        </w:tc>
        <w:tc>
          <w:tcPr>
            <w:tcW w:w="1000"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41" w:type="dxa"/>
            <w:noWrap w:val="0"/>
            <w:vAlign w:val="center"/>
          </w:tcPr>
          <w:p>
            <w:pPr>
              <w:overflowPunct w:val="0"/>
              <w:contextualSpacing/>
              <w:rPr>
                <w:rFonts w:hint="eastAsia" w:ascii="仿宋_GB2312"/>
                <w:sz w:val="24"/>
                <w:szCs w:val="24"/>
              </w:rPr>
            </w:pPr>
            <w:r>
              <w:rPr>
                <w:rFonts w:hint="eastAsia" w:ascii="仿宋_GB2312"/>
                <w:sz w:val="24"/>
                <w:szCs w:val="24"/>
              </w:rPr>
              <w:t>获得省部级以上荣誉称号情况</w:t>
            </w:r>
          </w:p>
        </w:tc>
        <w:tc>
          <w:tcPr>
            <w:tcW w:w="971" w:type="dxa"/>
            <w:noWrap w:val="0"/>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769" w:type="dxa"/>
            <w:noWrap w:val="0"/>
            <w:vAlign w:val="center"/>
          </w:tcPr>
          <w:p>
            <w:pPr>
              <w:tabs>
                <w:tab w:val="left" w:pos="633"/>
              </w:tabs>
              <w:overflowPunct w:val="0"/>
              <w:contextualSpacing/>
              <w:rPr>
                <w:rFonts w:hint="eastAsia" w:ascii="仿宋_GB2312"/>
                <w:sz w:val="24"/>
                <w:szCs w:val="24"/>
              </w:rPr>
            </w:pPr>
            <w:r>
              <w:rPr>
                <w:rFonts w:hint="eastAsia" w:ascii="仿宋_GB2312"/>
                <w:sz w:val="24"/>
                <w:szCs w:val="24"/>
              </w:rPr>
              <w:t>获得国家部委、省级党政机关以上单位（不含下设机构）授予的在评优创先、安全生产、文明服务、精神文明建设方面的集体荣誉称号的，加20分。</w:t>
            </w:r>
          </w:p>
        </w:tc>
        <w:tc>
          <w:tcPr>
            <w:tcW w:w="1275" w:type="dxa"/>
            <w:noWrap w:val="0"/>
            <w:tcMar>
              <w:left w:w="2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76" w:type="dxa"/>
            <w:noWrap w:val="0"/>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613" w:type="dxa"/>
            <w:vMerge w:val="continue"/>
            <w:noWrap w:val="0"/>
            <w:vAlign w:val="center"/>
          </w:tcPr>
          <w:p>
            <w:pPr>
              <w:overflowPunct w:val="0"/>
              <w:contextualSpacing/>
              <w:jc w:val="center"/>
              <w:rPr>
                <w:rFonts w:hint="eastAsia" w:ascii="仿宋_GB2312"/>
                <w:sz w:val="24"/>
                <w:szCs w:val="24"/>
              </w:rPr>
            </w:pPr>
          </w:p>
        </w:tc>
        <w:tc>
          <w:tcPr>
            <w:tcW w:w="1000" w:type="dxa"/>
            <w:vMerge w:val="continue"/>
            <w:noWrap w:val="0"/>
            <w:vAlign w:val="center"/>
          </w:tcPr>
          <w:p>
            <w:pPr>
              <w:overflowPunct w:val="0"/>
              <w:contextualSpacing/>
              <w:jc w:val="center"/>
              <w:rPr>
                <w:rFonts w:hint="eastAsia" w:ascii="仿宋_GB2312"/>
                <w:sz w:val="24"/>
                <w:szCs w:val="24"/>
              </w:rPr>
            </w:pPr>
          </w:p>
        </w:tc>
        <w:tc>
          <w:tcPr>
            <w:tcW w:w="1441" w:type="dxa"/>
            <w:noWrap w:val="0"/>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971" w:type="dxa"/>
            <w:noWrap w:val="0"/>
            <w:vAlign w:val="center"/>
          </w:tcPr>
          <w:p>
            <w:pPr>
              <w:overflowPunct w:val="0"/>
              <w:contextualSpacing/>
              <w:jc w:val="center"/>
              <w:rPr>
                <w:rFonts w:hint="eastAsia" w:ascii="仿宋_GB2312"/>
                <w:sz w:val="24"/>
                <w:szCs w:val="24"/>
              </w:rPr>
            </w:pPr>
            <w:r>
              <w:rPr>
                <w:rFonts w:hint="eastAsia" w:ascii="仿宋_GB2312"/>
                <w:sz w:val="24"/>
                <w:szCs w:val="24"/>
              </w:rPr>
              <w:t>80</w:t>
            </w:r>
          </w:p>
        </w:tc>
        <w:tc>
          <w:tcPr>
            <w:tcW w:w="2769" w:type="dxa"/>
            <w:noWrap w:val="0"/>
            <w:vAlign w:val="center"/>
          </w:tcPr>
          <w:p>
            <w:pPr>
              <w:overflowPunct w:val="0"/>
              <w:contextualSpacing/>
              <w:rPr>
                <w:rFonts w:hint="eastAsia" w:ascii="仿宋_GB2312"/>
                <w:sz w:val="24"/>
                <w:szCs w:val="24"/>
              </w:rPr>
            </w:pPr>
            <w:r>
              <w:rPr>
                <w:rFonts w:hint="eastAsia" w:ascii="仿宋_GB2312"/>
                <w:sz w:val="24"/>
                <w:szCs w:val="24"/>
                <w:lang w:val="zh-CN"/>
              </w:rPr>
              <w:t>配合处置突发事件、参与应急抢险、自然灾害救援的，1次加10分；企业驾驶员</w:t>
            </w:r>
            <w:r>
              <w:rPr>
                <w:rFonts w:hint="eastAsia" w:ascii="仿宋_GB2312"/>
                <w:sz w:val="24"/>
                <w:szCs w:val="24"/>
              </w:rPr>
              <w:t>有见义勇为、救死扶伤、拾金不昧等事迹的，每1起加5分，加满为止。</w:t>
            </w:r>
          </w:p>
        </w:tc>
        <w:tc>
          <w:tcPr>
            <w:tcW w:w="1275" w:type="dxa"/>
            <w:noWrap w:val="0"/>
            <w:tcMar>
              <w:left w:w="28" w:type="dxa"/>
              <w:right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70" w:type="dxa"/>
            <w:gridSpan w:val="6"/>
            <w:noWrap w:val="0"/>
            <w:vAlign w:val="center"/>
          </w:tcPr>
          <w:p>
            <w:pPr>
              <w:overflowPunct w:val="0"/>
              <w:contextualSpacing/>
              <w:rPr>
                <w:rFonts w:hint="eastAsia" w:ascii="仿宋_GB2312"/>
                <w:sz w:val="24"/>
                <w:szCs w:val="24"/>
              </w:rPr>
            </w:pPr>
            <w:r>
              <w:rPr>
                <w:sz w:val="24"/>
                <w:szCs w:val="24"/>
              </w:rPr>
              <w:t>凡发</w:t>
            </w:r>
            <w:r>
              <w:rPr>
                <w:rFonts w:hint="eastAsia" w:ascii="仿宋_GB2312"/>
                <w:sz w:val="24"/>
                <w:szCs w:val="24"/>
              </w:rPr>
              <w:t>生以下行为之一的，本年度信用分直接扣500分：</w:t>
            </w:r>
          </w:p>
          <w:p>
            <w:pPr>
              <w:overflowPunct w:val="0"/>
              <w:contextualSpacing/>
              <w:textAlignment w:val="center"/>
              <w:rPr>
                <w:rFonts w:hint="eastAsia" w:ascii="仿宋_GB2312"/>
                <w:sz w:val="24"/>
                <w:szCs w:val="24"/>
              </w:rPr>
            </w:pPr>
            <w:r>
              <w:rPr>
                <w:rFonts w:hint="eastAsia" w:ascii="仿宋_GB2312"/>
                <w:sz w:val="24"/>
                <w:szCs w:val="24"/>
              </w:rPr>
              <w:t>（一）</w:t>
            </w:r>
            <w:r>
              <w:rPr>
                <w:rFonts w:hint="eastAsia" w:ascii="仿宋_GB2312"/>
                <w:sz w:val="24"/>
                <w:szCs w:val="24"/>
                <w:lang w:bidi="ar"/>
              </w:rPr>
              <w:t>道路运输企业因</w:t>
            </w:r>
            <w:r>
              <w:rPr>
                <w:sz w:val="24"/>
                <w:szCs w:val="24"/>
                <w:lang w:bidi="ar"/>
              </w:rPr>
              <w:t>违反道路运输相关法律法规被吊销道路运输经营许可的；</w:t>
            </w:r>
          </w:p>
          <w:p>
            <w:pPr>
              <w:overflowPunct w:val="0"/>
              <w:contextualSpacing/>
              <w:rPr>
                <w:rFonts w:hint="eastAsia" w:ascii="仿宋_GB2312"/>
                <w:sz w:val="24"/>
                <w:szCs w:val="24"/>
              </w:rPr>
            </w:pPr>
            <w:r>
              <w:rPr>
                <w:rFonts w:hint="eastAsia" w:ascii="仿宋_GB2312"/>
                <w:sz w:val="24"/>
                <w:szCs w:val="24"/>
                <w:lang w:bidi="ar"/>
              </w:rPr>
              <w:t>（二）</w:t>
            </w:r>
            <w:r>
              <w:rPr>
                <w:rFonts w:hint="eastAsia" w:ascii="仿宋_GB2312"/>
                <w:sz w:val="24"/>
                <w:szCs w:val="24"/>
              </w:rPr>
              <w:t>企业1年内违反道路运输相关法律法规车辆超过本单位总数50%的；</w:t>
            </w:r>
          </w:p>
          <w:p>
            <w:pPr>
              <w:overflowPunct w:val="0"/>
              <w:contextualSpacing/>
              <w:rPr>
                <w:rFonts w:hint="eastAsia" w:ascii="仿宋_GB2312"/>
                <w:sz w:val="24"/>
                <w:szCs w:val="24"/>
              </w:rPr>
            </w:pPr>
            <w:r>
              <w:rPr>
                <w:rFonts w:hint="eastAsia" w:ascii="仿宋_GB2312"/>
                <w:sz w:val="24"/>
                <w:szCs w:val="24"/>
              </w:rPr>
              <w:t>（三）故意瞒报同责以上</w:t>
            </w:r>
            <w:r>
              <w:rPr>
                <w:rFonts w:hint="eastAsia" w:ascii="仿宋_GB2312"/>
                <w:sz w:val="24"/>
                <w:szCs w:val="24"/>
                <w:lang w:bidi="ar"/>
              </w:rPr>
              <w:t>行车</w:t>
            </w:r>
            <w:r>
              <w:rPr>
                <w:rFonts w:hint="eastAsia" w:ascii="仿宋_GB2312"/>
                <w:sz w:val="24"/>
                <w:szCs w:val="24"/>
              </w:rPr>
              <w:t>亡人事故的；</w:t>
            </w:r>
          </w:p>
          <w:p>
            <w:pPr>
              <w:overflowPunct w:val="0"/>
              <w:contextualSpacing/>
              <w:rPr>
                <w:rFonts w:hint="eastAsia" w:ascii="仿宋_GB2312"/>
                <w:sz w:val="24"/>
                <w:szCs w:val="24"/>
              </w:rPr>
            </w:pPr>
            <w:r>
              <w:rPr>
                <w:rFonts w:hint="eastAsia" w:ascii="仿宋_GB2312"/>
                <w:sz w:val="24"/>
                <w:szCs w:val="24"/>
              </w:rPr>
              <w:t>（四）组织煽动从业人员进行上访、罢工、闹事，引发群体性事件造成恶劣影响的。</w:t>
            </w:r>
          </w:p>
          <w:p>
            <w:pPr>
              <w:overflowPunct w:val="0"/>
              <w:contextualSpacing/>
              <w:rPr>
                <w:sz w:val="24"/>
                <w:szCs w:val="24"/>
              </w:rPr>
            </w:pPr>
            <w:r>
              <w:rPr>
                <w:rFonts w:hint="eastAsia" w:ascii="仿宋_GB2312"/>
                <w:sz w:val="24"/>
                <w:szCs w:val="24"/>
              </w:rPr>
              <w:t>凡发生《浙江省道路运输企业信用管理实施细则》第十二条行为之一的，本年度信用分直接扣500分。</w:t>
            </w:r>
          </w:p>
        </w:tc>
        <w:tc>
          <w:tcPr>
            <w:tcW w:w="1275" w:type="dxa"/>
            <w:noWrap w:val="0"/>
            <w:tcMar>
              <w:left w:w="28" w:type="dxa"/>
              <w:right w:w="28" w:type="dxa"/>
            </w:tcMar>
            <w:vAlign w:val="center"/>
          </w:tcPr>
          <w:p>
            <w:pPr>
              <w:overflowPunct w:val="0"/>
              <w:contextualSpacing/>
              <w:rPr>
                <w:sz w:val="24"/>
                <w:szCs w:val="24"/>
              </w:rPr>
            </w:pPr>
            <w:r>
              <w:rPr>
                <w:sz w:val="24"/>
                <w:szCs w:val="24"/>
              </w:rPr>
              <w:t>行业内部数数据共享或手工录入</w:t>
            </w:r>
          </w:p>
        </w:tc>
      </w:tr>
    </w:tbl>
    <w:p>
      <w:pPr>
        <w:overflowPunct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一、按照企业排序进行扣分的具体规则，按照此指标下的企业从低到高进行排名，不同排名扣除不同分值的方式</w:t>
      </w:r>
    </w:p>
    <w:p>
      <w:pPr>
        <w:overflowPunct w:val="0"/>
        <w:spacing w:line="360" w:lineRule="exact"/>
        <w:ind w:firstLine="480" w:firstLineChars="200"/>
        <w:rPr>
          <w:rFonts w:hint="eastAsia" w:ascii="仿宋_GB2312"/>
          <w:sz w:val="24"/>
          <w:szCs w:val="28"/>
        </w:rPr>
      </w:pPr>
      <w:r>
        <w:rPr>
          <w:rFonts w:hint="eastAsia" w:ascii="仿宋_GB2312"/>
          <w:sz w:val="24"/>
          <w:szCs w:val="28"/>
        </w:rPr>
        <w:t>1. 首先将企业按照指标数据从小到大排序；</w:t>
      </w:r>
    </w:p>
    <w:p>
      <w:pPr>
        <w:overflowPunct w:val="0"/>
        <w:spacing w:line="360" w:lineRule="exact"/>
        <w:ind w:firstLine="480" w:firstLineChars="200"/>
        <w:rPr>
          <w:rFonts w:hint="eastAsia" w:ascii="仿宋_GB2312"/>
          <w:sz w:val="24"/>
          <w:szCs w:val="28"/>
        </w:rPr>
      </w:pPr>
      <w:r>
        <w:rPr>
          <w:rFonts w:hint="eastAsia" w:ascii="仿宋_GB2312"/>
          <w:sz w:val="24"/>
          <w:szCs w:val="28"/>
        </w:rPr>
        <w:t>2. 按照排序好的企业，计算该企业在总体企业中的位置，例如处于前20%的位置，就扣除该指标分值*0.2的分数（二级指标为10分，扣除分数为10*0.2=2分）。</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二、对综合监管平台中被责令整改率、企业车辆超速驾驶情况、企业车辆疲劳驾驶情况、被交通运输部门行政处罚情况、被公安机关交通管理部门行政处罚情况的具体解释</w:t>
      </w:r>
    </w:p>
    <w:p>
      <w:pPr>
        <w:overflowPunct w:val="0"/>
        <w:spacing w:line="360" w:lineRule="exact"/>
        <w:ind w:firstLine="480" w:firstLineChars="200"/>
        <w:rPr>
          <w:rFonts w:hint="eastAsia" w:ascii="仿宋_GB2312"/>
          <w:sz w:val="24"/>
          <w:szCs w:val="28"/>
        </w:rPr>
      </w:pPr>
      <w:r>
        <w:rPr>
          <w:rFonts w:hint="eastAsia" w:ascii="仿宋_GB2312"/>
          <w:sz w:val="24"/>
          <w:szCs w:val="28"/>
        </w:rPr>
        <w:t>综合监管平台中被责令整改率：评价周期内企业已整改单数/该企业当前营运车辆总数；</w:t>
      </w:r>
    </w:p>
    <w:p>
      <w:pPr>
        <w:overflowPunct w:val="0"/>
        <w:spacing w:line="360" w:lineRule="exact"/>
        <w:ind w:firstLine="480" w:firstLineChars="200"/>
        <w:rPr>
          <w:rFonts w:hint="eastAsia" w:ascii="仿宋_GB2312"/>
          <w:spacing w:val="-4"/>
          <w:sz w:val="24"/>
          <w:szCs w:val="28"/>
        </w:rPr>
      </w:pPr>
      <w:r>
        <w:rPr>
          <w:rFonts w:hint="eastAsia" w:ascii="仿宋_GB2312"/>
          <w:sz w:val="24"/>
          <w:szCs w:val="28"/>
        </w:rPr>
        <w:t>企</w:t>
      </w:r>
      <w:r>
        <w:rPr>
          <w:rFonts w:hint="eastAsia" w:ascii="仿宋_GB2312"/>
          <w:spacing w:val="-4"/>
          <w:sz w:val="24"/>
          <w:szCs w:val="28"/>
        </w:rPr>
        <w:t>业车辆超速驾驶情况：评价周期内车辆超速驾驶总次数/该企业当前营运车辆总数；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企业车辆疲劳驾驶情况：评价周期内类型为"疲劳驾驶"的已整改单数/该企业当前营运车辆总数；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被交通运输部门行政处罚情况：评价周期内企业被交通运输部门行政处罚数/该企业当前营运车辆总数；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被公安机关交通管理部门行政处罚情况：评价周期内企业所属营运车辆被公安机关交通管理部门行政处罚数/该企业当前营运车辆总数。</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三、关于手工录入部分省、市、县分工说明</w:t>
      </w:r>
    </w:p>
    <w:p>
      <w:pPr>
        <w:overflowPunct w:val="0"/>
        <w:spacing w:line="360" w:lineRule="exact"/>
        <w:ind w:firstLine="480" w:firstLineChars="200"/>
        <w:rPr>
          <w:rFonts w:hint="eastAsia" w:ascii="仿宋_GB2312"/>
          <w:sz w:val="24"/>
          <w:szCs w:val="28"/>
        </w:rPr>
      </w:pPr>
      <w:r>
        <w:rPr>
          <w:rFonts w:hint="eastAsia" w:ascii="仿宋_GB2312"/>
          <w:sz w:val="24"/>
          <w:szCs w:val="28"/>
        </w:rPr>
        <w:t>除</w:t>
      </w:r>
      <w:r>
        <w:rPr>
          <w:rFonts w:hint="eastAsia" w:ascii="仿宋_GB2312"/>
          <w:sz w:val="24"/>
          <w:szCs w:val="28"/>
          <w:lang w:val="zh-CN"/>
        </w:rPr>
        <w:t>被媒体曝光负面事件情况</w:t>
      </w:r>
      <w:r>
        <w:rPr>
          <w:rFonts w:hint="eastAsia" w:ascii="仿宋_GB2312"/>
          <w:sz w:val="24"/>
          <w:szCs w:val="28"/>
        </w:rPr>
        <w:t>由市级交通运输部门负责外，其他手工录入数据按照信息来源，由省、市、县分别录入。具体说明如下：</w:t>
      </w:r>
    </w:p>
    <w:p>
      <w:pPr>
        <w:overflowPunct w:val="0"/>
        <w:spacing w:line="360" w:lineRule="exact"/>
        <w:ind w:firstLine="480" w:firstLineChars="200"/>
        <w:rPr>
          <w:rFonts w:hint="eastAsia" w:ascii="仿宋_GB2312"/>
          <w:sz w:val="24"/>
          <w:szCs w:val="28"/>
        </w:rPr>
      </w:pPr>
      <w:r>
        <w:rPr>
          <w:rFonts w:hint="eastAsia" w:ascii="仿宋_GB2312"/>
          <w:sz w:val="24"/>
          <w:szCs w:val="28"/>
        </w:rPr>
        <w:t>1.被省级通报、列入省级重点安全监管企业、获得省部级以上荣誉称号的，由省级相关部门录入；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2.</w:t>
      </w:r>
      <w:r>
        <w:rPr>
          <w:rFonts w:hint="eastAsia" w:ascii="仿宋_GB2312"/>
          <w:sz w:val="24"/>
          <w:szCs w:val="28"/>
          <w:lang w:val="zh-CN"/>
        </w:rPr>
        <w:t>被市级列入重点安全监管企业名单、</w:t>
      </w:r>
      <w:r>
        <w:rPr>
          <w:rFonts w:hint="eastAsia" w:ascii="仿宋_GB2312"/>
          <w:sz w:val="24"/>
          <w:szCs w:val="28"/>
        </w:rPr>
        <w:t>被12345/12328投诉、被处以停业整顿、发生恶劣群体性事件、红黑名单认定行为的，由市级相关部门录入；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3.被县级12345/12328投诉信息、事故相关信息、履行行业主管部门政策情况、企业安全生产标准化建设达标情况、参与社会公益及应急救援等信息的，由县级相关部门录入。</w:t>
      </w:r>
    </w:p>
    <w:p>
      <w:pPr>
        <w:overflowPunct w:val="0"/>
        <w:spacing w:line="590" w:lineRule="exact"/>
        <w:rPr>
          <w:rFonts w:hAnsi="黑体" w:eastAsia="黑体"/>
          <w:szCs w:val="32"/>
        </w:rPr>
      </w:pPr>
      <w:r>
        <w:rPr>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2</w:t>
      </w:r>
    </w:p>
    <w:p>
      <w:pPr>
        <w:overflowPunct w:val="0"/>
        <w:spacing w:line="590" w:lineRule="exact"/>
        <w:ind w:firstLine="640" w:firstLineChars="200"/>
        <w:rPr>
          <w:szCs w:val="32"/>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城市公共汽车客运企业信用评价标准</w:t>
      </w:r>
    </w:p>
    <w:p>
      <w:pPr>
        <w:overflowPunct w:val="0"/>
        <w:spacing w:line="59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87"/>
        <w:gridCol w:w="619"/>
        <w:gridCol w:w="1004"/>
        <w:gridCol w:w="1444"/>
        <w:gridCol w:w="950"/>
        <w:gridCol w:w="2738"/>
        <w:gridCol w:w="13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87"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rPr>
            </w:pPr>
            <w:r>
              <w:rPr>
                <w:rFonts w:ascii="黑体" w:hAnsi="黑体" w:eastAsia="黑体"/>
                <w:sz w:val="24"/>
                <w:szCs w:val="24"/>
                <w:lang w:bidi="ar"/>
              </w:rPr>
              <w:t>序号</w:t>
            </w:r>
          </w:p>
        </w:tc>
        <w:tc>
          <w:tcPr>
            <w:tcW w:w="619"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w:t>
            </w:r>
          </w:p>
          <w:p>
            <w:pPr>
              <w:overflowPunct w:val="0"/>
              <w:contextualSpacing/>
              <w:jc w:val="center"/>
              <w:textAlignment w:val="center"/>
              <w:rPr>
                <w:rFonts w:ascii="黑体" w:hAnsi="黑体" w:eastAsia="黑体"/>
                <w:sz w:val="24"/>
                <w:szCs w:val="24"/>
              </w:rPr>
            </w:pPr>
            <w:r>
              <w:rPr>
                <w:rFonts w:ascii="黑体" w:hAnsi="黑体" w:eastAsia="黑体"/>
                <w:sz w:val="24"/>
                <w:szCs w:val="24"/>
                <w:lang w:bidi="ar"/>
              </w:rPr>
              <w:t>指标</w:t>
            </w:r>
          </w:p>
        </w:tc>
        <w:tc>
          <w:tcPr>
            <w:tcW w:w="1004" w:type="dxa"/>
            <w:noWrap w:val="0"/>
            <w:tcMar>
              <w:top w:w="15" w:type="dxa"/>
              <w:left w:w="15" w:type="dxa"/>
              <w:right w:w="15" w:type="dxa"/>
            </w:tcMar>
            <w:vAlign w:val="center"/>
          </w:tcPr>
          <w:p>
            <w:pPr>
              <w:overflowPunct w:val="0"/>
              <w:contextualSpacing/>
              <w:jc w:val="center"/>
              <w:textAlignment w:val="center"/>
              <w:rPr>
                <w:rFonts w:hint="eastAsia" w:ascii="黑体" w:hAnsi="黑体" w:eastAsia="黑体"/>
                <w:sz w:val="24"/>
                <w:szCs w:val="24"/>
                <w:lang w:bidi="ar"/>
              </w:rPr>
            </w:pPr>
            <w:r>
              <w:rPr>
                <w:rFonts w:ascii="黑体" w:hAnsi="黑体" w:eastAsia="黑体"/>
                <w:sz w:val="24"/>
                <w:szCs w:val="24"/>
                <w:lang w:bidi="ar"/>
              </w:rPr>
              <w:t>一级指</w:t>
            </w:r>
          </w:p>
          <w:p>
            <w:pPr>
              <w:overflowPunct w:val="0"/>
              <w:contextualSpacing/>
              <w:jc w:val="center"/>
              <w:textAlignment w:val="center"/>
              <w:rPr>
                <w:rFonts w:ascii="黑体" w:hAnsi="黑体" w:eastAsia="黑体"/>
                <w:sz w:val="24"/>
                <w:szCs w:val="24"/>
              </w:rPr>
            </w:pPr>
            <w:r>
              <w:rPr>
                <w:rFonts w:ascii="黑体" w:hAnsi="黑体" w:eastAsia="黑体"/>
                <w:sz w:val="24"/>
                <w:szCs w:val="24"/>
                <w:lang w:bidi="ar"/>
              </w:rPr>
              <w:t>标分值</w:t>
            </w:r>
          </w:p>
        </w:tc>
        <w:tc>
          <w:tcPr>
            <w:tcW w:w="1444"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rPr>
            </w:pPr>
            <w:r>
              <w:rPr>
                <w:rFonts w:ascii="黑体" w:hAnsi="黑体" w:eastAsia="黑体"/>
                <w:sz w:val="24"/>
                <w:szCs w:val="24"/>
                <w:lang w:bidi="ar"/>
              </w:rPr>
              <w:t>二级指标</w:t>
            </w:r>
          </w:p>
        </w:tc>
        <w:tc>
          <w:tcPr>
            <w:tcW w:w="950"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rPr>
            </w:pPr>
            <w:r>
              <w:rPr>
                <w:rFonts w:ascii="黑体" w:hAnsi="黑体" w:eastAsia="黑体"/>
                <w:sz w:val="24"/>
                <w:szCs w:val="24"/>
                <w:lang w:bidi="ar"/>
              </w:rPr>
              <w:t>二级指标分值</w:t>
            </w:r>
          </w:p>
        </w:tc>
        <w:tc>
          <w:tcPr>
            <w:tcW w:w="2738"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rPr>
            </w:pPr>
            <w:r>
              <w:rPr>
                <w:rFonts w:ascii="黑体" w:hAnsi="黑体" w:eastAsia="黑体"/>
                <w:sz w:val="24"/>
                <w:szCs w:val="24"/>
                <w:lang w:bidi="ar"/>
              </w:rPr>
              <w:t>评分标准</w:t>
            </w:r>
          </w:p>
        </w:tc>
        <w:tc>
          <w:tcPr>
            <w:tcW w:w="1303"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w:t>
            </w:r>
          </w:p>
        </w:tc>
        <w:tc>
          <w:tcPr>
            <w:tcW w:w="619"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经营</w:t>
            </w:r>
          </w:p>
          <w:p>
            <w:pPr>
              <w:overflowPunct w:val="0"/>
              <w:contextualSpacing/>
              <w:jc w:val="center"/>
              <w:textAlignment w:val="center"/>
              <w:rPr>
                <w:rFonts w:hint="eastAsia" w:ascii="仿宋_GB2312"/>
                <w:sz w:val="24"/>
                <w:szCs w:val="24"/>
              </w:rPr>
            </w:pPr>
            <w:r>
              <w:rPr>
                <w:rFonts w:hint="eastAsia" w:ascii="仿宋_GB2312"/>
                <w:sz w:val="24"/>
                <w:szCs w:val="24"/>
                <w:lang w:bidi="ar"/>
              </w:rPr>
              <w:t>信用</w:t>
            </w:r>
          </w:p>
        </w:tc>
        <w:tc>
          <w:tcPr>
            <w:tcW w:w="1004"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50</w:t>
            </w: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信用承诺履行情况</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rPr>
              <w:t>50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2</w:t>
            </w:r>
          </w:p>
        </w:tc>
        <w:tc>
          <w:tcPr>
            <w:tcW w:w="619" w:type="dxa"/>
            <w:vMerge w:val="restart"/>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市场</w:t>
            </w:r>
          </w:p>
          <w:p>
            <w:pPr>
              <w:overflowPunct w:val="0"/>
              <w:contextualSpacing/>
              <w:jc w:val="center"/>
              <w:textAlignment w:val="center"/>
              <w:rPr>
                <w:rFonts w:hint="eastAsia" w:ascii="仿宋_GB2312"/>
                <w:sz w:val="24"/>
                <w:szCs w:val="24"/>
              </w:rPr>
            </w:pPr>
            <w:r>
              <w:rPr>
                <w:rFonts w:hint="eastAsia" w:ascii="仿宋_GB2312"/>
                <w:sz w:val="24"/>
                <w:szCs w:val="24"/>
                <w:lang w:bidi="ar"/>
              </w:rPr>
              <w:t>信用</w:t>
            </w:r>
          </w:p>
        </w:tc>
        <w:tc>
          <w:tcPr>
            <w:tcW w:w="1004" w:type="dxa"/>
            <w:vMerge w:val="restart"/>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350</w:t>
            </w: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道路运输行政处罚率</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100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每0.01次/车</w:t>
            </w:r>
            <w:r>
              <w:rPr>
                <w:rFonts w:hint="eastAsia" w:ascii="仿宋_GB2312"/>
                <w:sz w:val="24"/>
                <w:szCs w:val="24"/>
                <w:lang w:bidi="ar"/>
              </w:rPr>
              <w:t>扣50分，扣完为止。</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3</w:t>
            </w:r>
          </w:p>
        </w:tc>
        <w:tc>
          <w:tcPr>
            <w:tcW w:w="619" w:type="dxa"/>
            <w:vMerge w:val="continue"/>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p>
        </w:tc>
        <w:tc>
          <w:tcPr>
            <w:tcW w:w="1004" w:type="dxa"/>
            <w:vMerge w:val="continue"/>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lang w:bidi="ar"/>
              </w:rPr>
            </w:pPr>
            <w:r>
              <w:rPr>
                <w:rFonts w:hint="eastAsia" w:ascii="仿宋_GB2312"/>
                <w:sz w:val="24"/>
                <w:szCs w:val="24"/>
              </w:rPr>
              <w:t>履行行业主管部门政策情况</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rPr>
              <w:t>100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发现未履行行业主管部门有关政策要求的，每项扣50分，扣完为止。</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4</w:t>
            </w:r>
          </w:p>
        </w:tc>
        <w:tc>
          <w:tcPr>
            <w:tcW w:w="619" w:type="dxa"/>
            <w:vMerge w:val="continue"/>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p>
        </w:tc>
        <w:tc>
          <w:tcPr>
            <w:tcW w:w="1004" w:type="dxa"/>
            <w:vMerge w:val="continue"/>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pacing w:val="-6"/>
                <w:sz w:val="24"/>
                <w:szCs w:val="24"/>
                <w:lang w:bidi="ar"/>
              </w:rPr>
            </w:pPr>
            <w:r>
              <w:rPr>
                <w:rFonts w:hint="eastAsia" w:ascii="仿宋_GB2312"/>
                <w:spacing w:val="-6"/>
                <w:sz w:val="24"/>
                <w:szCs w:val="24"/>
                <w:lang w:bidi="ar"/>
              </w:rPr>
              <w:t>落实成品油价格补助情况</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150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发现存在弄虚作假、套取补助资金的，扣150分。</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5</w:t>
            </w:r>
          </w:p>
        </w:tc>
        <w:tc>
          <w:tcPr>
            <w:tcW w:w="619" w:type="dxa"/>
            <w:vMerge w:val="restart"/>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服务</w:t>
            </w:r>
          </w:p>
          <w:p>
            <w:pPr>
              <w:overflowPunct w:val="0"/>
              <w:contextualSpacing/>
              <w:jc w:val="center"/>
              <w:textAlignment w:val="center"/>
              <w:rPr>
                <w:rFonts w:hint="eastAsia" w:ascii="仿宋_GB2312"/>
                <w:sz w:val="24"/>
                <w:szCs w:val="24"/>
              </w:rPr>
            </w:pPr>
            <w:r>
              <w:rPr>
                <w:rFonts w:hint="eastAsia" w:ascii="仿宋_GB2312"/>
                <w:sz w:val="24"/>
                <w:szCs w:val="24"/>
                <w:lang w:bidi="ar"/>
              </w:rPr>
              <w:t>信用</w:t>
            </w:r>
          </w:p>
        </w:tc>
        <w:tc>
          <w:tcPr>
            <w:tcW w:w="1004" w:type="dxa"/>
            <w:vMerge w:val="restart"/>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100</w:t>
            </w: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准点发班率</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20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pacing w:val="-6"/>
                <w:sz w:val="24"/>
                <w:szCs w:val="24"/>
              </w:rPr>
            </w:pPr>
            <w:r>
              <w:rPr>
                <w:rFonts w:hint="eastAsia" w:ascii="仿宋_GB2312"/>
                <w:spacing w:val="-6"/>
                <w:sz w:val="24"/>
                <w:szCs w:val="24"/>
              </w:rPr>
              <w:t>98%≤准点发班率＜100%，扣4分；95%≤准点发班率＜98%，扣8分；90%≤准点发班率＜95%，扣12分；准点发班率＜90%，扣20分（此项指标在数据未完全接入之前不扣分）。</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66"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6</w:t>
            </w:r>
          </w:p>
        </w:tc>
        <w:tc>
          <w:tcPr>
            <w:tcW w:w="619" w:type="dxa"/>
            <w:vMerge w:val="continue"/>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p>
        </w:tc>
        <w:tc>
          <w:tcPr>
            <w:tcW w:w="1004" w:type="dxa"/>
            <w:vMerge w:val="continue"/>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val="zh-CN"/>
              </w:rPr>
              <w:t>被投诉及社会监督组织发现问题且属实次数</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60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1次扣10分，扣完为止。</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21"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7</w:t>
            </w:r>
          </w:p>
        </w:tc>
        <w:tc>
          <w:tcPr>
            <w:tcW w:w="619" w:type="dxa"/>
            <w:vMerge w:val="continue"/>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p>
        </w:tc>
        <w:tc>
          <w:tcPr>
            <w:tcW w:w="1004" w:type="dxa"/>
            <w:vMerge w:val="continue"/>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被媒体曝光负面事件数</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20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被新闻媒体曝光的，每次扣10分，情节特别恶劣的，扣20分，扣完为止。</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8</w:t>
            </w:r>
          </w:p>
        </w:tc>
        <w:tc>
          <w:tcPr>
            <w:tcW w:w="619"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安全</w:t>
            </w:r>
          </w:p>
          <w:p>
            <w:pPr>
              <w:overflowPunct w:val="0"/>
              <w:contextualSpacing/>
              <w:jc w:val="center"/>
              <w:textAlignment w:val="center"/>
              <w:rPr>
                <w:rFonts w:hint="eastAsia" w:ascii="仿宋_GB2312"/>
                <w:sz w:val="24"/>
                <w:szCs w:val="24"/>
              </w:rPr>
            </w:pPr>
            <w:r>
              <w:rPr>
                <w:rFonts w:hint="eastAsia" w:ascii="仿宋_GB2312"/>
                <w:sz w:val="24"/>
                <w:szCs w:val="24"/>
                <w:lang w:bidi="ar"/>
              </w:rPr>
              <w:t>信用</w:t>
            </w:r>
          </w:p>
        </w:tc>
        <w:tc>
          <w:tcPr>
            <w:tcW w:w="1004"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400</w:t>
            </w:r>
          </w:p>
        </w:tc>
        <w:tc>
          <w:tcPr>
            <w:tcW w:w="1444"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被公安机关交通管理部门行政处罚情况</w:t>
            </w:r>
          </w:p>
        </w:tc>
        <w:tc>
          <w:tcPr>
            <w:tcW w:w="950" w:type="dxa"/>
            <w:noWrap w:val="0"/>
            <w:tcMar>
              <w:top w:w="57" w:type="dxa"/>
              <w:left w:w="15" w:type="dxa"/>
              <w:bottom w:w="5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rPr>
              <w:t>200</w:t>
            </w:r>
          </w:p>
        </w:tc>
        <w:tc>
          <w:tcPr>
            <w:tcW w:w="2738" w:type="dxa"/>
            <w:noWrap w:val="0"/>
            <w:tcMar>
              <w:top w:w="57" w:type="dxa"/>
              <w:left w:w="15" w:type="dxa"/>
              <w:bottom w:w="5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按照企业排序进行系统自动计算扣分。</w:t>
            </w:r>
          </w:p>
        </w:tc>
        <w:tc>
          <w:tcPr>
            <w:tcW w:w="1303" w:type="dxa"/>
            <w:noWrap w:val="0"/>
            <w:tcMar>
              <w:top w:w="57" w:type="dxa"/>
              <w:left w:w="15" w:type="dxa"/>
              <w:bottom w:w="5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公安厅交管</w:t>
            </w:r>
          </w:p>
          <w:p>
            <w:pPr>
              <w:overflowPunct w:val="0"/>
              <w:contextualSpacing/>
              <w:jc w:val="center"/>
              <w:rPr>
                <w:rFonts w:hint="eastAsia" w:ascii="仿宋_GB2312"/>
                <w:sz w:val="24"/>
                <w:szCs w:val="24"/>
              </w:rPr>
            </w:pPr>
            <w:r>
              <w:rPr>
                <w:rFonts w:hint="eastAsia" w:ascii="仿宋_GB2312"/>
                <w:sz w:val="24"/>
                <w:szCs w:val="24"/>
              </w:rPr>
              <w:t>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9</w:t>
            </w:r>
          </w:p>
        </w:tc>
        <w:tc>
          <w:tcPr>
            <w:tcW w:w="619" w:type="dxa"/>
            <w:vMerge w:val="restart"/>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安全</w:t>
            </w:r>
          </w:p>
          <w:p>
            <w:pPr>
              <w:overflowPunct w:val="0"/>
              <w:contextualSpacing/>
              <w:jc w:val="center"/>
              <w:rPr>
                <w:rFonts w:hint="eastAsia" w:ascii="仿宋_GB2312"/>
                <w:sz w:val="24"/>
                <w:szCs w:val="24"/>
              </w:rPr>
            </w:pPr>
            <w:r>
              <w:rPr>
                <w:rFonts w:hint="eastAsia" w:ascii="仿宋_GB2312"/>
                <w:sz w:val="24"/>
                <w:szCs w:val="24"/>
                <w:lang w:bidi="ar"/>
              </w:rPr>
              <w:t>信用</w:t>
            </w:r>
          </w:p>
        </w:tc>
        <w:tc>
          <w:tcPr>
            <w:tcW w:w="1004" w:type="dxa"/>
            <w:vMerge w:val="restart"/>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444" w:type="dxa"/>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发生行车事故情况</w:t>
            </w:r>
          </w:p>
        </w:tc>
        <w:tc>
          <w:tcPr>
            <w:tcW w:w="950"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200</w:t>
            </w:r>
          </w:p>
        </w:tc>
        <w:tc>
          <w:tcPr>
            <w:tcW w:w="2738" w:type="dxa"/>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发生亡人事故但责任未确定或负次责的，每死亡1人扣20分；未发生亡人事故但引起社会关注的，每起扣20分，扣完为止。</w:t>
            </w:r>
            <w:r>
              <w:rPr>
                <w:rFonts w:hint="eastAsia" w:ascii="仿宋_GB2312"/>
                <w:sz w:val="24"/>
                <w:szCs w:val="24"/>
              </w:rPr>
              <w:t>发生事故后瞒报信息的</w:t>
            </w:r>
            <w:r>
              <w:rPr>
                <w:rFonts w:hint="eastAsia" w:ascii="仿宋_GB2312"/>
                <w:sz w:val="24"/>
                <w:szCs w:val="24"/>
                <w:lang w:bidi="ar"/>
              </w:rPr>
              <w:t>（超过7天未上报，视作瞒报），200分扣完。</w:t>
            </w:r>
          </w:p>
        </w:tc>
        <w:tc>
          <w:tcPr>
            <w:tcW w:w="1303"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lang w:val="zh-CN"/>
              </w:rPr>
            </w:pPr>
            <w:r>
              <w:rPr>
                <w:rFonts w:hint="eastAsia" w:ascii="仿宋_GB2312"/>
                <w:sz w:val="24"/>
                <w:szCs w:val="24"/>
                <w:lang w:val="zh-CN"/>
              </w:rPr>
              <w:t>公安数据</w:t>
            </w:r>
          </w:p>
          <w:p>
            <w:pPr>
              <w:overflowPunct w:val="0"/>
              <w:contextualSpacing/>
              <w:jc w:val="center"/>
              <w:rPr>
                <w:rFonts w:hint="eastAsia" w:ascii="仿宋_GB2312"/>
                <w:sz w:val="24"/>
                <w:szCs w:val="24"/>
                <w:lang w:val="zh-CN"/>
              </w:rPr>
            </w:pPr>
            <w:r>
              <w:rPr>
                <w:rFonts w:hint="eastAsia" w:ascii="仿宋_GB2312"/>
                <w:sz w:val="24"/>
                <w:szCs w:val="24"/>
                <w:lang w:val="zh-CN"/>
              </w:rPr>
              <w:t>共享与行业</w:t>
            </w:r>
          </w:p>
          <w:p>
            <w:pPr>
              <w:overflowPunct w:val="0"/>
              <w:contextualSpacing/>
              <w:jc w:val="center"/>
              <w:rPr>
                <w:rFonts w:hint="eastAsia" w:ascii="仿宋_GB2312"/>
                <w:sz w:val="24"/>
                <w:szCs w:val="24"/>
                <w:lang w:val="zh-CN"/>
              </w:rPr>
            </w:pPr>
            <w:r>
              <w:rPr>
                <w:rFonts w:hint="eastAsia" w:ascii="仿宋_GB2312"/>
                <w:sz w:val="24"/>
                <w:szCs w:val="24"/>
                <w:lang w:val="zh-CN"/>
              </w:rPr>
              <w:t>内部数据</w:t>
            </w:r>
          </w:p>
          <w:p>
            <w:pPr>
              <w:overflowPunct w:val="0"/>
              <w:contextualSpacing/>
              <w:jc w:val="center"/>
              <w:rPr>
                <w:rFonts w:hint="eastAsia" w:ascii="仿宋_GB2312"/>
                <w:sz w:val="24"/>
                <w:szCs w:val="24"/>
              </w:rPr>
            </w:pPr>
            <w:r>
              <w:rPr>
                <w:rFonts w:hint="eastAsia" w:ascii="仿宋_GB2312"/>
                <w:sz w:val="24"/>
                <w:szCs w:val="24"/>
                <w:lang w:val="zh-CN"/>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10</w:t>
            </w:r>
          </w:p>
        </w:tc>
        <w:tc>
          <w:tcPr>
            <w:tcW w:w="619" w:type="dxa"/>
            <w:vMerge w:val="continue"/>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p>
        </w:tc>
        <w:tc>
          <w:tcPr>
            <w:tcW w:w="1004" w:type="dxa"/>
            <w:vMerge w:val="continue"/>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p>
        </w:tc>
        <w:tc>
          <w:tcPr>
            <w:tcW w:w="1444" w:type="dxa"/>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发生行业</w:t>
            </w:r>
            <w:r>
              <w:rPr>
                <w:rFonts w:hint="eastAsia" w:ascii="仿宋_GB2312"/>
                <w:sz w:val="24"/>
                <w:szCs w:val="24"/>
                <w:lang w:val="zh-CN"/>
              </w:rPr>
              <w:t>同责以上亡人事故情况</w:t>
            </w:r>
          </w:p>
        </w:tc>
        <w:tc>
          <w:tcPr>
            <w:tcW w:w="950"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rPr>
              <w:t xml:space="preserve">400 </w:t>
            </w:r>
          </w:p>
        </w:tc>
        <w:tc>
          <w:tcPr>
            <w:tcW w:w="2738" w:type="dxa"/>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发生同责以上亡人事故1-2人的，每次扣100分；发生同责以上亡人事故3-9人的，每次扣200分，扣完为止。</w:t>
            </w:r>
          </w:p>
        </w:tc>
        <w:tc>
          <w:tcPr>
            <w:tcW w:w="1303"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lang w:val="zh-CN"/>
              </w:rPr>
            </w:pPr>
            <w:r>
              <w:rPr>
                <w:rFonts w:hint="eastAsia" w:ascii="仿宋_GB2312"/>
                <w:sz w:val="24"/>
                <w:szCs w:val="24"/>
                <w:lang w:val="zh-CN"/>
              </w:rPr>
              <w:t>公安数据</w:t>
            </w:r>
          </w:p>
          <w:p>
            <w:pPr>
              <w:overflowPunct w:val="0"/>
              <w:contextualSpacing/>
              <w:jc w:val="center"/>
              <w:rPr>
                <w:rFonts w:hint="eastAsia" w:ascii="仿宋_GB2312"/>
                <w:sz w:val="24"/>
                <w:szCs w:val="24"/>
                <w:lang w:val="zh-CN"/>
              </w:rPr>
            </w:pPr>
            <w:r>
              <w:rPr>
                <w:rFonts w:hint="eastAsia" w:ascii="仿宋_GB2312"/>
                <w:sz w:val="24"/>
                <w:szCs w:val="24"/>
                <w:lang w:val="zh-CN"/>
              </w:rPr>
              <w:t>共享与行业</w:t>
            </w:r>
          </w:p>
          <w:p>
            <w:pPr>
              <w:overflowPunct w:val="0"/>
              <w:contextualSpacing/>
              <w:jc w:val="center"/>
              <w:rPr>
                <w:rFonts w:hint="eastAsia" w:ascii="仿宋_GB2312"/>
                <w:sz w:val="24"/>
                <w:szCs w:val="24"/>
                <w:lang w:val="zh-CN"/>
              </w:rPr>
            </w:pPr>
            <w:r>
              <w:rPr>
                <w:rFonts w:hint="eastAsia" w:ascii="仿宋_GB2312"/>
                <w:sz w:val="24"/>
                <w:szCs w:val="24"/>
                <w:lang w:val="zh-CN"/>
              </w:rPr>
              <w:t>内部数据</w:t>
            </w:r>
          </w:p>
          <w:p>
            <w:pPr>
              <w:overflowPunct w:val="0"/>
              <w:contextualSpacing/>
              <w:jc w:val="center"/>
              <w:rPr>
                <w:rFonts w:hint="eastAsia" w:ascii="仿宋_GB2312"/>
                <w:sz w:val="24"/>
                <w:szCs w:val="24"/>
              </w:rPr>
            </w:pPr>
            <w:r>
              <w:rPr>
                <w:rFonts w:hint="eastAsia" w:ascii="仿宋_GB2312"/>
                <w:sz w:val="24"/>
                <w:szCs w:val="24"/>
                <w:lang w:val="zh-CN"/>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11</w:t>
            </w:r>
          </w:p>
        </w:tc>
        <w:tc>
          <w:tcPr>
            <w:tcW w:w="619" w:type="dxa"/>
            <w:vMerge w:val="continue"/>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p>
        </w:tc>
        <w:tc>
          <w:tcPr>
            <w:tcW w:w="1004" w:type="dxa"/>
            <w:vMerge w:val="continue"/>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p>
        </w:tc>
        <w:tc>
          <w:tcPr>
            <w:tcW w:w="1444" w:type="dxa"/>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被停业整顿</w:t>
            </w:r>
          </w:p>
        </w:tc>
        <w:tc>
          <w:tcPr>
            <w:tcW w:w="950"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rPr>
              <w:t xml:space="preserve">400 </w:t>
            </w:r>
          </w:p>
        </w:tc>
        <w:tc>
          <w:tcPr>
            <w:tcW w:w="2738" w:type="dxa"/>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因存在严重安全隐患，被勒令停业整顿的，每发生一次扣100分，扣完为止。</w:t>
            </w:r>
          </w:p>
        </w:tc>
        <w:tc>
          <w:tcPr>
            <w:tcW w:w="1303"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lang w:val="zh-CN"/>
              </w:rPr>
            </w:pPr>
            <w:r>
              <w:rPr>
                <w:rFonts w:hint="eastAsia" w:ascii="仿宋_GB2312"/>
                <w:sz w:val="24"/>
                <w:szCs w:val="24"/>
                <w:lang w:val="zh-CN"/>
              </w:rPr>
              <w:t>行业内部</w:t>
            </w:r>
          </w:p>
          <w:p>
            <w:pPr>
              <w:overflowPunct w:val="0"/>
              <w:contextualSpacing/>
              <w:jc w:val="center"/>
              <w:rPr>
                <w:rFonts w:hint="eastAsia" w:ascii="仿宋_GB2312"/>
                <w:sz w:val="24"/>
                <w:szCs w:val="24"/>
                <w:lang w:val="zh-CN"/>
              </w:rPr>
            </w:pPr>
            <w:r>
              <w:rPr>
                <w:rFonts w:hint="eastAsia" w:ascii="仿宋_GB2312"/>
                <w:sz w:val="24"/>
                <w:szCs w:val="24"/>
                <w:lang w:val="zh-CN"/>
              </w:rPr>
              <w:t>数据共享或</w:t>
            </w:r>
          </w:p>
          <w:p>
            <w:pPr>
              <w:overflowPunct w:val="0"/>
              <w:contextualSpacing/>
              <w:jc w:val="center"/>
              <w:rPr>
                <w:rFonts w:hint="eastAsia" w:ascii="仿宋_GB2312"/>
                <w:sz w:val="24"/>
                <w:szCs w:val="24"/>
              </w:rPr>
            </w:pPr>
            <w:r>
              <w:rPr>
                <w:rFonts w:hint="eastAsia" w:ascii="仿宋_GB2312"/>
                <w:sz w:val="24"/>
                <w:szCs w:val="24"/>
                <w:lang w:val="zh-CN"/>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12</w:t>
            </w:r>
          </w:p>
        </w:tc>
        <w:tc>
          <w:tcPr>
            <w:tcW w:w="619"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公共</w:t>
            </w:r>
          </w:p>
          <w:p>
            <w:pPr>
              <w:overflowPunct w:val="0"/>
              <w:contextualSpacing/>
              <w:jc w:val="center"/>
              <w:textAlignment w:val="center"/>
              <w:rPr>
                <w:rFonts w:hint="eastAsia" w:ascii="仿宋_GB2312"/>
                <w:sz w:val="24"/>
                <w:szCs w:val="24"/>
              </w:rPr>
            </w:pPr>
            <w:r>
              <w:rPr>
                <w:rFonts w:hint="eastAsia" w:ascii="仿宋_GB2312"/>
                <w:sz w:val="24"/>
                <w:szCs w:val="24"/>
                <w:lang w:bidi="ar"/>
              </w:rPr>
              <w:t>信用</w:t>
            </w:r>
          </w:p>
        </w:tc>
        <w:tc>
          <w:tcPr>
            <w:tcW w:w="1004"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100</w:t>
            </w:r>
          </w:p>
        </w:tc>
        <w:tc>
          <w:tcPr>
            <w:tcW w:w="1444"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w:t>
            </w:r>
          </w:p>
        </w:tc>
        <w:tc>
          <w:tcPr>
            <w:tcW w:w="950"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w:t>
            </w:r>
          </w:p>
        </w:tc>
        <w:tc>
          <w:tcPr>
            <w:tcW w:w="2738" w:type="dxa"/>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bidi="ar"/>
              </w:rPr>
              <w:t>根据省信用办提供的企业公共信用分值按比例进行换算。</w:t>
            </w:r>
          </w:p>
        </w:tc>
        <w:tc>
          <w:tcPr>
            <w:tcW w:w="1303"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省大数据局数据共享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13</w:t>
            </w:r>
          </w:p>
        </w:tc>
        <w:tc>
          <w:tcPr>
            <w:tcW w:w="619" w:type="dxa"/>
            <w:vMerge w:val="restart"/>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加</w:t>
            </w:r>
          </w:p>
          <w:p>
            <w:pPr>
              <w:overflowPunct w:val="0"/>
              <w:contextualSpacing/>
              <w:jc w:val="center"/>
              <w:textAlignment w:val="center"/>
              <w:rPr>
                <w:rFonts w:hint="eastAsia" w:ascii="仿宋_GB2312"/>
                <w:sz w:val="24"/>
                <w:szCs w:val="24"/>
                <w:lang w:bidi="ar"/>
              </w:rPr>
            </w:pPr>
            <w:r>
              <w:rPr>
                <w:rFonts w:hint="eastAsia" w:ascii="仿宋_GB2312"/>
                <w:sz w:val="24"/>
                <w:szCs w:val="24"/>
                <w:lang w:bidi="ar"/>
              </w:rPr>
              <w:t>分</w:t>
            </w:r>
          </w:p>
          <w:p>
            <w:pPr>
              <w:overflowPunct w:val="0"/>
              <w:contextualSpacing/>
              <w:jc w:val="center"/>
              <w:textAlignment w:val="center"/>
              <w:rPr>
                <w:rFonts w:hint="eastAsia" w:ascii="仿宋_GB2312"/>
                <w:sz w:val="24"/>
                <w:szCs w:val="24"/>
              </w:rPr>
            </w:pPr>
            <w:r>
              <w:rPr>
                <w:rFonts w:hint="eastAsia" w:ascii="仿宋_GB2312"/>
                <w:sz w:val="24"/>
                <w:szCs w:val="24"/>
                <w:lang w:bidi="ar"/>
              </w:rPr>
              <w:t>项</w:t>
            </w:r>
          </w:p>
        </w:tc>
        <w:tc>
          <w:tcPr>
            <w:tcW w:w="1004" w:type="dxa"/>
            <w:vMerge w:val="restart"/>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100</w:t>
            </w:r>
          </w:p>
        </w:tc>
        <w:tc>
          <w:tcPr>
            <w:tcW w:w="1444" w:type="dxa"/>
            <w:noWrap w:val="0"/>
            <w:tcMar>
              <w:top w:w="15" w:type="dxa"/>
              <w:left w:w="15" w:type="dxa"/>
              <w:bottom w:w="17" w:type="dxa"/>
              <w:right w:w="15" w:type="dxa"/>
            </w:tcMar>
            <w:vAlign w:val="center"/>
          </w:tcPr>
          <w:p>
            <w:pPr>
              <w:overflowPunct w:val="0"/>
              <w:contextualSpacing/>
              <w:rPr>
                <w:rFonts w:hint="eastAsia" w:ascii="仿宋_GB2312"/>
                <w:sz w:val="24"/>
                <w:szCs w:val="24"/>
              </w:rPr>
            </w:pPr>
            <w:r>
              <w:rPr>
                <w:rFonts w:hint="eastAsia" w:ascii="仿宋_GB2312"/>
                <w:sz w:val="24"/>
                <w:szCs w:val="24"/>
              </w:rPr>
              <w:t>获得省部级以上荣誉称号情况</w:t>
            </w:r>
          </w:p>
        </w:tc>
        <w:tc>
          <w:tcPr>
            <w:tcW w:w="950"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38" w:type="dxa"/>
            <w:noWrap w:val="0"/>
            <w:tcMar>
              <w:top w:w="15" w:type="dxa"/>
              <w:left w:w="15" w:type="dxa"/>
              <w:bottom w:w="17" w:type="dxa"/>
              <w:right w:w="15" w:type="dxa"/>
            </w:tcMar>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val="0"/>
              <w:autoSpaceDE w:val="0"/>
              <w:contextualSpacing/>
              <w:rPr>
                <w:rFonts w:hint="eastAsia" w:ascii="仿宋_GB2312"/>
                <w:sz w:val="24"/>
                <w:szCs w:val="24"/>
              </w:rPr>
            </w:pPr>
            <w:r>
              <w:rPr>
                <w:rFonts w:hint="eastAsia" w:ascii="仿宋_GB2312"/>
                <w:sz w:val="24"/>
                <w:szCs w:val="24"/>
              </w:rPr>
              <w:t>获得国家部委、省级党政机关以上单位（不含下设机构）授予的在评优创先、安全生产、文明服务、精神文明建设方面的集体荣誉称号的，加50分。</w:t>
            </w:r>
          </w:p>
        </w:tc>
        <w:tc>
          <w:tcPr>
            <w:tcW w:w="1303"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87" w:type="dxa"/>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rPr>
              <w:t>14</w:t>
            </w:r>
          </w:p>
        </w:tc>
        <w:tc>
          <w:tcPr>
            <w:tcW w:w="619" w:type="dxa"/>
            <w:vMerge w:val="continue"/>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p>
        </w:tc>
        <w:tc>
          <w:tcPr>
            <w:tcW w:w="1004" w:type="dxa"/>
            <w:vMerge w:val="continue"/>
            <w:noWrap w:val="0"/>
            <w:tcMar>
              <w:top w:w="15" w:type="dxa"/>
              <w:left w:w="15" w:type="dxa"/>
              <w:bottom w:w="17" w:type="dxa"/>
              <w:right w:w="15" w:type="dxa"/>
            </w:tcMar>
            <w:vAlign w:val="center"/>
          </w:tcPr>
          <w:p>
            <w:pPr>
              <w:overflowPunct w:val="0"/>
              <w:contextualSpacing/>
              <w:jc w:val="center"/>
              <w:textAlignment w:val="center"/>
              <w:rPr>
                <w:rFonts w:hint="eastAsia" w:ascii="仿宋_GB2312"/>
                <w:sz w:val="24"/>
                <w:szCs w:val="24"/>
              </w:rPr>
            </w:pPr>
          </w:p>
        </w:tc>
        <w:tc>
          <w:tcPr>
            <w:tcW w:w="1444" w:type="dxa"/>
            <w:noWrap w:val="0"/>
            <w:tcMar>
              <w:top w:w="15" w:type="dxa"/>
              <w:left w:w="15" w:type="dxa"/>
              <w:bottom w:w="17" w:type="dxa"/>
              <w:right w:w="15" w:type="dxa"/>
            </w:tcMar>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950"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38" w:type="dxa"/>
            <w:noWrap w:val="0"/>
            <w:tcMar>
              <w:top w:w="15" w:type="dxa"/>
              <w:left w:w="15" w:type="dxa"/>
              <w:bottom w:w="17" w:type="dxa"/>
              <w:right w:w="15" w:type="dxa"/>
            </w:tcMar>
            <w:vAlign w:val="center"/>
          </w:tcPr>
          <w:p>
            <w:pPr>
              <w:overflowPunct w:val="0"/>
              <w:contextualSpacing/>
              <w:rPr>
                <w:rFonts w:hint="eastAsia" w:ascii="仿宋_GB2312"/>
                <w:sz w:val="24"/>
                <w:szCs w:val="24"/>
              </w:rPr>
            </w:pPr>
            <w:r>
              <w:rPr>
                <w:rFonts w:hint="eastAsia" w:ascii="仿宋_GB2312"/>
                <w:sz w:val="24"/>
                <w:szCs w:val="24"/>
              </w:rPr>
              <w:t>配合处置突发事件、参与应急抢险、自然灾害救援的，1次加10分</w:t>
            </w:r>
            <w:r>
              <w:rPr>
                <w:rFonts w:hint="eastAsia" w:ascii="仿宋_GB2312"/>
                <w:sz w:val="24"/>
                <w:szCs w:val="24"/>
                <w:lang w:val="zh-CN"/>
              </w:rPr>
              <w:t>；企业驾驶员</w:t>
            </w:r>
            <w:r>
              <w:rPr>
                <w:rFonts w:hint="eastAsia" w:ascii="仿宋_GB2312"/>
                <w:sz w:val="24"/>
                <w:szCs w:val="24"/>
              </w:rPr>
              <w:t>有见义勇为、救死扶伤、拾金不昧等事迹的，每1起加5分,加满为止。</w:t>
            </w:r>
          </w:p>
        </w:tc>
        <w:tc>
          <w:tcPr>
            <w:tcW w:w="1303"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42" w:type="dxa"/>
            <w:gridSpan w:val="6"/>
            <w:noWrap w:val="0"/>
            <w:tcMar>
              <w:top w:w="15" w:type="dxa"/>
              <w:left w:w="15" w:type="dxa"/>
              <w:bottom w:w="17" w:type="dxa"/>
              <w:right w:w="15" w:type="dxa"/>
            </w:tcMar>
            <w:vAlign w:val="center"/>
          </w:tcPr>
          <w:p>
            <w:pPr>
              <w:overflowPunct w:val="0"/>
              <w:contextualSpacing/>
              <w:textAlignment w:val="center"/>
              <w:rPr>
                <w:rFonts w:hint="eastAsia" w:ascii="仿宋_GB2312"/>
                <w:sz w:val="24"/>
                <w:szCs w:val="24"/>
                <w:lang w:bidi="ar"/>
              </w:rPr>
            </w:pPr>
            <w:r>
              <w:rPr>
                <w:rFonts w:hint="eastAsia" w:ascii="仿宋_GB2312"/>
                <w:sz w:val="24"/>
                <w:szCs w:val="24"/>
                <w:lang w:bidi="ar"/>
              </w:rPr>
              <w:t>凡发生以下行为之一的，本年度信用分直接扣500分：</w:t>
            </w:r>
          </w:p>
          <w:p>
            <w:pPr>
              <w:overflowPunct w:val="0"/>
              <w:contextualSpacing/>
              <w:textAlignment w:val="center"/>
              <w:rPr>
                <w:rFonts w:hint="eastAsia" w:ascii="仿宋_GB2312"/>
                <w:sz w:val="24"/>
                <w:szCs w:val="24"/>
              </w:rPr>
            </w:pPr>
            <w:r>
              <w:rPr>
                <w:rFonts w:hint="eastAsia" w:ascii="仿宋_GB2312"/>
                <w:sz w:val="24"/>
                <w:szCs w:val="24"/>
                <w:lang w:bidi="ar"/>
              </w:rPr>
              <w:t>（一）道路运输企业因违反道路运输相关法律法规被吊销道路运输经营许可的；</w:t>
            </w:r>
          </w:p>
          <w:p>
            <w:pPr>
              <w:overflowPunct w:val="0"/>
              <w:contextualSpacing/>
              <w:textAlignment w:val="center"/>
              <w:rPr>
                <w:rFonts w:hint="eastAsia" w:ascii="仿宋_GB2312"/>
                <w:sz w:val="24"/>
                <w:szCs w:val="24"/>
                <w:lang w:bidi="ar"/>
              </w:rPr>
            </w:pPr>
            <w:r>
              <w:rPr>
                <w:rFonts w:hint="eastAsia" w:ascii="仿宋_GB2312"/>
                <w:sz w:val="24"/>
                <w:szCs w:val="24"/>
                <w:lang w:bidi="ar"/>
              </w:rPr>
              <w:t>（二）企业1年内违反道路运输相关法律法规车辆超过本单位总数50%的；</w:t>
            </w:r>
          </w:p>
          <w:p>
            <w:pPr>
              <w:overflowPunct w:val="0"/>
              <w:contextualSpacing/>
              <w:textAlignment w:val="center"/>
              <w:rPr>
                <w:rFonts w:hint="eastAsia" w:ascii="仿宋_GB2312"/>
                <w:sz w:val="24"/>
                <w:szCs w:val="24"/>
              </w:rPr>
            </w:pPr>
            <w:r>
              <w:rPr>
                <w:rFonts w:hint="eastAsia" w:ascii="仿宋_GB2312"/>
                <w:sz w:val="24"/>
                <w:szCs w:val="24"/>
                <w:lang w:bidi="ar"/>
              </w:rPr>
              <w:t>（三）故意瞒报</w:t>
            </w:r>
            <w:r>
              <w:rPr>
                <w:rFonts w:hint="eastAsia" w:ascii="仿宋_GB2312"/>
                <w:sz w:val="24"/>
                <w:szCs w:val="24"/>
              </w:rPr>
              <w:t>同责以上</w:t>
            </w:r>
            <w:r>
              <w:rPr>
                <w:rFonts w:hint="eastAsia" w:ascii="仿宋_GB2312"/>
                <w:sz w:val="24"/>
                <w:szCs w:val="24"/>
                <w:lang w:bidi="ar"/>
              </w:rPr>
              <w:t>行车</w:t>
            </w:r>
            <w:r>
              <w:rPr>
                <w:rFonts w:hint="eastAsia" w:ascii="仿宋_GB2312"/>
                <w:sz w:val="24"/>
                <w:szCs w:val="24"/>
              </w:rPr>
              <w:t>亡人事故</w:t>
            </w:r>
            <w:r>
              <w:rPr>
                <w:rFonts w:hint="eastAsia" w:ascii="仿宋_GB2312"/>
                <w:sz w:val="24"/>
                <w:szCs w:val="24"/>
                <w:lang w:bidi="ar"/>
              </w:rPr>
              <w:t>的；</w:t>
            </w:r>
          </w:p>
          <w:p>
            <w:pPr>
              <w:overflowPunct w:val="0"/>
              <w:contextualSpacing/>
              <w:textAlignment w:val="center"/>
              <w:rPr>
                <w:rFonts w:hint="eastAsia" w:ascii="仿宋_GB2312"/>
                <w:sz w:val="24"/>
                <w:szCs w:val="24"/>
              </w:rPr>
            </w:pPr>
            <w:r>
              <w:rPr>
                <w:rFonts w:hint="eastAsia" w:ascii="仿宋_GB2312"/>
                <w:sz w:val="24"/>
                <w:szCs w:val="24"/>
                <w:lang w:bidi="ar"/>
              </w:rPr>
              <w:t>（四）组织煽动从业人员进行上访、罢工、闹事，引发群体性事件造成恶劣影响的。</w:t>
            </w:r>
          </w:p>
          <w:p>
            <w:pPr>
              <w:overflowPunct w:val="0"/>
              <w:contextualSpacing/>
              <w:textAlignment w:val="center"/>
              <w:rPr>
                <w:rFonts w:hint="eastAsia" w:ascii="仿宋_GB2312"/>
                <w:sz w:val="24"/>
                <w:szCs w:val="24"/>
              </w:rPr>
            </w:pPr>
            <w:r>
              <w:rPr>
                <w:rFonts w:hint="eastAsia" w:ascii="仿宋_GB2312"/>
                <w:sz w:val="24"/>
                <w:szCs w:val="24"/>
                <w:lang w:val="zh-CN"/>
              </w:rPr>
              <w:t>凡发生《浙江省道路运输企业信用管理实施细则》第十二条行为之一的，本年度信用分直接扣500分。</w:t>
            </w:r>
          </w:p>
        </w:tc>
        <w:tc>
          <w:tcPr>
            <w:tcW w:w="1303" w:type="dxa"/>
            <w:noWrap w:val="0"/>
            <w:tcMar>
              <w:top w:w="15"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bl>
    <w:p>
      <w:pPr>
        <w:overflowPunct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一、按照企业排序进行扣分的具体规则，按照此指标下的企业从低到高进行排名，不同排名扣除不同分值的方式</w:t>
      </w:r>
    </w:p>
    <w:p>
      <w:pPr>
        <w:overflowPunct w:val="0"/>
        <w:spacing w:line="360" w:lineRule="exact"/>
        <w:ind w:firstLine="480" w:firstLineChars="200"/>
        <w:rPr>
          <w:rFonts w:hint="eastAsia" w:ascii="仿宋_GB2312"/>
          <w:sz w:val="24"/>
          <w:szCs w:val="28"/>
        </w:rPr>
      </w:pPr>
      <w:r>
        <w:rPr>
          <w:rFonts w:hint="eastAsia" w:ascii="仿宋_GB2312"/>
          <w:sz w:val="24"/>
          <w:szCs w:val="28"/>
        </w:rPr>
        <w:t>1. 首先将企业按照指标数据从小到大排序；</w:t>
      </w:r>
    </w:p>
    <w:p>
      <w:pPr>
        <w:overflowPunct w:val="0"/>
        <w:spacing w:line="360" w:lineRule="exact"/>
        <w:ind w:firstLine="480" w:firstLineChars="200"/>
        <w:rPr>
          <w:rFonts w:hint="eastAsia" w:ascii="仿宋_GB2312"/>
          <w:sz w:val="24"/>
          <w:szCs w:val="28"/>
        </w:rPr>
      </w:pPr>
      <w:r>
        <w:rPr>
          <w:rFonts w:hint="eastAsia" w:ascii="仿宋_GB2312"/>
          <w:sz w:val="24"/>
          <w:szCs w:val="28"/>
        </w:rPr>
        <w:t>2. 按照排序好的企业，计算该企业在总体企业中的位置，例如处于前20%的位置，就扣除该指标分值*0.2的分数（二级指标为10分，扣除分数为10*0.2=2分）。</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二、对交通运输行政处罚率、公安行政处罚率的具体解释</w:t>
      </w:r>
    </w:p>
    <w:p>
      <w:pPr>
        <w:overflowPunct w:val="0"/>
        <w:spacing w:line="360" w:lineRule="exact"/>
        <w:ind w:firstLine="480" w:firstLineChars="200"/>
        <w:rPr>
          <w:rFonts w:hint="eastAsia" w:ascii="仿宋_GB2312"/>
          <w:sz w:val="24"/>
          <w:szCs w:val="28"/>
        </w:rPr>
      </w:pPr>
      <w:r>
        <w:rPr>
          <w:rFonts w:hint="eastAsia" w:ascii="仿宋_GB2312"/>
          <w:sz w:val="24"/>
          <w:szCs w:val="28"/>
        </w:rPr>
        <w:t>被交通运输部门行政处罚情况：评价周期内企业被交通运输部门行政处罚数/该企业当前营运车辆总数；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被公安机关交通管理部门行政处罚情况：评价周期内企业所属营运车辆被公安机关交通管理部门行政处罚数/该企业当前营运车辆总数。</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三、关于手工录入部分省、市、县分工说明</w:t>
      </w:r>
    </w:p>
    <w:p>
      <w:pPr>
        <w:overflowPunct w:val="0"/>
        <w:spacing w:line="36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除被媒体曝光负面事件由市级交通运输部门负责外，其他手工录入数据按照信息来源，由省、市、县分别录入。具体说明如下：</w:t>
      </w:r>
    </w:p>
    <w:p>
      <w:pPr>
        <w:overflowPunct w:val="0"/>
        <w:spacing w:line="360" w:lineRule="exact"/>
        <w:ind w:firstLine="480" w:firstLineChars="200"/>
        <w:rPr>
          <w:rFonts w:hint="eastAsia" w:ascii="仿宋_GB2312"/>
          <w:sz w:val="24"/>
          <w:szCs w:val="28"/>
        </w:rPr>
      </w:pPr>
      <w:r>
        <w:rPr>
          <w:rFonts w:hint="eastAsia" w:ascii="仿宋_GB2312"/>
          <w:sz w:val="24"/>
          <w:szCs w:val="28"/>
        </w:rPr>
        <w:t>1. 被省级列入省级重点安全监管企业、获得省部级以上荣誉称号情况的，由省级相关部门录入；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2. 被12345/12328投诉信息、停业整顿、发生恶劣群体性事件、红黑名单认定行为的，由市级相关部门录入；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3. 被县级12345/12328投诉信息、事故相关信息、履行行业主管部门政策情况、落实成品油价格补助情况、社会公益及应急救援情况等信息的，由县级相关部门录入。</w:t>
      </w:r>
    </w:p>
    <w:p>
      <w:pPr>
        <w:overflowPunct w:val="0"/>
        <w:spacing w:line="590" w:lineRule="exact"/>
        <w:rPr>
          <w:rFonts w:ascii="黑体" w:hAnsi="黑体" w:eastAsia="黑体"/>
          <w:szCs w:val="32"/>
        </w:rPr>
      </w:pPr>
      <w:r>
        <w:rPr>
          <w:bCs/>
          <w:smallCaps/>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3</w:t>
      </w:r>
    </w:p>
    <w:p>
      <w:pPr>
        <w:overflowPunct w:val="0"/>
        <w:spacing w:line="590" w:lineRule="exact"/>
        <w:ind w:firstLine="640" w:firstLineChars="200"/>
        <w:rPr>
          <w:bCs/>
          <w:smallCaps/>
          <w:szCs w:val="32"/>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出租汽车企业信用评价标准</w:t>
      </w:r>
    </w:p>
    <w:p>
      <w:pPr>
        <w:overflowPunct w:val="0"/>
        <w:spacing w:line="59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94"/>
        <w:gridCol w:w="669"/>
        <w:gridCol w:w="992"/>
        <w:gridCol w:w="1373"/>
        <w:gridCol w:w="939"/>
        <w:gridCol w:w="2742"/>
        <w:gridCol w:w="1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9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6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99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37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93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74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36"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69" w:type="dxa"/>
            <w:noWrap w:val="0"/>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992" w:type="dxa"/>
            <w:noWrap w:val="0"/>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50</w:t>
            </w:r>
          </w:p>
        </w:tc>
        <w:tc>
          <w:tcPr>
            <w:tcW w:w="1373" w:type="dxa"/>
            <w:noWrap w:val="0"/>
            <w:vAlign w:val="center"/>
          </w:tcPr>
          <w:p>
            <w:pPr>
              <w:overflowPunct w:val="0"/>
              <w:contextualSpacing/>
              <w:textAlignment w:val="center"/>
              <w:rPr>
                <w:rFonts w:hint="eastAsia" w:ascii="仿宋_GB2312"/>
                <w:sz w:val="24"/>
                <w:szCs w:val="24"/>
              </w:rPr>
            </w:pPr>
            <w:r>
              <w:rPr>
                <w:rFonts w:hint="eastAsia" w:ascii="仿宋_GB2312"/>
                <w:sz w:val="24"/>
                <w:szCs w:val="24"/>
              </w:rPr>
              <w:t>信用承诺履行情况</w:t>
            </w:r>
          </w:p>
        </w:tc>
        <w:tc>
          <w:tcPr>
            <w:tcW w:w="939" w:type="dxa"/>
            <w:noWrap w:val="0"/>
            <w:vAlign w:val="center"/>
          </w:tcPr>
          <w:p>
            <w:pPr>
              <w:overflowPunct w:val="0"/>
              <w:contextualSpacing/>
              <w:jc w:val="center"/>
              <w:textAlignment w:val="center"/>
              <w:rPr>
                <w:rFonts w:hint="eastAsia" w:ascii="仿宋_GB2312"/>
                <w:sz w:val="24"/>
                <w:szCs w:val="24"/>
              </w:rPr>
            </w:pPr>
            <w:r>
              <w:rPr>
                <w:rFonts w:hint="eastAsia" w:ascii="仿宋_GB2312"/>
                <w:sz w:val="24"/>
                <w:szCs w:val="24"/>
              </w:rPr>
              <w:t>50</w:t>
            </w:r>
          </w:p>
        </w:tc>
        <w:tc>
          <w:tcPr>
            <w:tcW w:w="2742" w:type="dxa"/>
            <w:noWrap w:val="0"/>
            <w:vAlign w:val="center"/>
          </w:tcPr>
          <w:p>
            <w:pPr>
              <w:overflowPunct w:val="0"/>
              <w:contextualSpacing/>
              <w:textAlignment w:val="center"/>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69"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市场信用</w:t>
            </w:r>
          </w:p>
        </w:tc>
        <w:tc>
          <w:tcPr>
            <w:tcW w:w="992"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250</w:t>
            </w:r>
          </w:p>
        </w:tc>
        <w:tc>
          <w:tcPr>
            <w:tcW w:w="1373" w:type="dxa"/>
            <w:noWrap w:val="0"/>
            <w:vAlign w:val="center"/>
          </w:tcPr>
          <w:p>
            <w:pPr>
              <w:overflowPunct w:val="0"/>
              <w:contextualSpacing/>
              <w:rPr>
                <w:rFonts w:hint="eastAsia" w:ascii="仿宋_GB2312"/>
                <w:sz w:val="24"/>
                <w:szCs w:val="24"/>
              </w:rPr>
            </w:pPr>
            <w:r>
              <w:rPr>
                <w:rFonts w:hint="eastAsia" w:ascii="仿宋_GB2312"/>
                <w:sz w:val="24"/>
                <w:szCs w:val="24"/>
              </w:rPr>
              <w:t>综合监管平台中被责令整改率</w:t>
            </w:r>
          </w:p>
        </w:tc>
        <w:tc>
          <w:tcPr>
            <w:tcW w:w="939" w:type="dxa"/>
            <w:noWrap w:val="0"/>
            <w:vAlign w:val="center"/>
          </w:tcPr>
          <w:p>
            <w:pPr>
              <w:overflowPunct w:val="0"/>
              <w:contextualSpacing/>
              <w:jc w:val="center"/>
              <w:rPr>
                <w:rFonts w:hint="eastAsia" w:ascii="仿宋_GB2312"/>
                <w:sz w:val="24"/>
                <w:szCs w:val="24"/>
              </w:rPr>
            </w:pPr>
            <w:r>
              <w:rPr>
                <w:rFonts w:hint="eastAsia" w:ascii="仿宋_GB2312"/>
                <w:sz w:val="24"/>
                <w:szCs w:val="24"/>
              </w:rPr>
              <w:t>30</w:t>
            </w:r>
          </w:p>
        </w:tc>
        <w:tc>
          <w:tcPr>
            <w:tcW w:w="2742" w:type="dxa"/>
            <w:noWrap w:val="0"/>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69" w:type="dxa"/>
            <w:vMerge w:val="continue"/>
            <w:noWrap w:val="0"/>
            <w:vAlign w:val="center"/>
          </w:tcPr>
          <w:p>
            <w:pPr>
              <w:overflowPunct w:val="0"/>
              <w:contextualSpacing/>
              <w:jc w:val="center"/>
              <w:rPr>
                <w:rFonts w:hint="eastAsia" w:ascii="仿宋_GB2312"/>
                <w:sz w:val="24"/>
                <w:szCs w:val="24"/>
              </w:rPr>
            </w:pPr>
          </w:p>
        </w:tc>
        <w:tc>
          <w:tcPr>
            <w:tcW w:w="992" w:type="dxa"/>
            <w:vMerge w:val="continue"/>
            <w:noWrap w:val="0"/>
            <w:vAlign w:val="center"/>
          </w:tcPr>
          <w:p>
            <w:pPr>
              <w:overflowPunct w:val="0"/>
              <w:contextualSpacing/>
              <w:jc w:val="center"/>
              <w:rPr>
                <w:rFonts w:hint="eastAsia" w:ascii="仿宋_GB2312"/>
                <w:sz w:val="24"/>
                <w:szCs w:val="24"/>
              </w:rPr>
            </w:pPr>
          </w:p>
        </w:tc>
        <w:tc>
          <w:tcPr>
            <w:tcW w:w="1373" w:type="dxa"/>
            <w:noWrap w:val="0"/>
            <w:vAlign w:val="center"/>
          </w:tcPr>
          <w:p>
            <w:pPr>
              <w:overflowPunct w:val="0"/>
              <w:contextualSpacing/>
              <w:rPr>
                <w:rFonts w:hint="eastAsia" w:ascii="仿宋_GB2312"/>
                <w:sz w:val="24"/>
                <w:szCs w:val="24"/>
              </w:rPr>
            </w:pPr>
            <w:r>
              <w:rPr>
                <w:rFonts w:hint="eastAsia" w:ascii="仿宋_GB2312"/>
                <w:sz w:val="24"/>
                <w:szCs w:val="24"/>
              </w:rPr>
              <w:t>被交通运输部门行政处罚情况</w:t>
            </w:r>
          </w:p>
        </w:tc>
        <w:tc>
          <w:tcPr>
            <w:tcW w:w="939" w:type="dxa"/>
            <w:noWrap w:val="0"/>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2742" w:type="dxa"/>
            <w:noWrap w:val="0"/>
            <w:vAlign w:val="center"/>
          </w:tcPr>
          <w:p>
            <w:pPr>
              <w:overflowPunct w:val="0"/>
              <w:contextualSpacing/>
              <w:rPr>
                <w:rFonts w:hint="eastAsia" w:ascii="仿宋_GB2312"/>
                <w:sz w:val="24"/>
                <w:szCs w:val="24"/>
              </w:rPr>
            </w:pPr>
            <w:r>
              <w:rPr>
                <w:rFonts w:hint="eastAsia" w:ascii="仿宋_GB2312"/>
                <w:sz w:val="24"/>
                <w:szCs w:val="24"/>
              </w:rPr>
              <w:t>每0.01次/车扣25分，扣完为止。</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69" w:type="dxa"/>
            <w:vMerge w:val="continue"/>
            <w:noWrap w:val="0"/>
            <w:vAlign w:val="center"/>
          </w:tcPr>
          <w:p>
            <w:pPr>
              <w:overflowPunct w:val="0"/>
              <w:contextualSpacing/>
              <w:jc w:val="center"/>
              <w:rPr>
                <w:rFonts w:hint="eastAsia" w:ascii="仿宋_GB2312"/>
                <w:sz w:val="24"/>
                <w:szCs w:val="24"/>
              </w:rPr>
            </w:pPr>
          </w:p>
        </w:tc>
        <w:tc>
          <w:tcPr>
            <w:tcW w:w="992" w:type="dxa"/>
            <w:vMerge w:val="continue"/>
            <w:noWrap w:val="0"/>
            <w:vAlign w:val="center"/>
          </w:tcPr>
          <w:p>
            <w:pPr>
              <w:overflowPunct w:val="0"/>
              <w:contextualSpacing/>
              <w:jc w:val="center"/>
              <w:rPr>
                <w:rFonts w:hint="eastAsia" w:ascii="仿宋_GB2312"/>
                <w:sz w:val="24"/>
                <w:szCs w:val="24"/>
              </w:rPr>
            </w:pPr>
          </w:p>
        </w:tc>
        <w:tc>
          <w:tcPr>
            <w:tcW w:w="1373" w:type="dxa"/>
            <w:noWrap w:val="0"/>
            <w:vAlign w:val="center"/>
          </w:tcPr>
          <w:p>
            <w:pPr>
              <w:overflowPunct w:val="0"/>
              <w:contextualSpacing/>
              <w:rPr>
                <w:rFonts w:hint="eastAsia" w:ascii="仿宋_GB2312"/>
                <w:sz w:val="24"/>
                <w:szCs w:val="24"/>
              </w:rPr>
            </w:pPr>
            <w:r>
              <w:rPr>
                <w:rFonts w:hint="eastAsia" w:ascii="仿宋_GB2312"/>
                <w:sz w:val="24"/>
                <w:szCs w:val="24"/>
              </w:rPr>
              <w:t>执法检查中发现问题情况</w:t>
            </w:r>
          </w:p>
        </w:tc>
        <w:tc>
          <w:tcPr>
            <w:tcW w:w="939" w:type="dxa"/>
            <w:noWrap w:val="0"/>
            <w:vAlign w:val="center"/>
          </w:tcPr>
          <w:p>
            <w:pPr>
              <w:overflowPunct w:val="0"/>
              <w:contextualSpacing/>
              <w:jc w:val="center"/>
              <w:rPr>
                <w:rFonts w:hint="eastAsia" w:ascii="仿宋_GB2312"/>
                <w:sz w:val="24"/>
                <w:szCs w:val="24"/>
              </w:rPr>
            </w:pPr>
            <w:r>
              <w:rPr>
                <w:rFonts w:hint="eastAsia" w:ascii="仿宋_GB2312"/>
                <w:sz w:val="24"/>
                <w:szCs w:val="24"/>
              </w:rPr>
              <w:t>70</w:t>
            </w:r>
          </w:p>
        </w:tc>
        <w:tc>
          <w:tcPr>
            <w:tcW w:w="2742" w:type="dxa"/>
            <w:noWrap w:val="0"/>
            <w:vAlign w:val="center"/>
          </w:tcPr>
          <w:p>
            <w:pPr>
              <w:overflowPunct w:val="0"/>
              <w:contextualSpacing/>
              <w:rPr>
                <w:rFonts w:hint="eastAsia" w:ascii="仿宋_GB2312"/>
                <w:sz w:val="24"/>
                <w:szCs w:val="24"/>
              </w:rPr>
            </w:pPr>
            <w:r>
              <w:rPr>
                <w:rFonts w:hint="eastAsia" w:ascii="仿宋_GB2312"/>
                <w:sz w:val="24"/>
                <w:szCs w:val="24"/>
              </w:rPr>
              <w:t>累计执法检查中发现问题数后按照企业排序进行扣分；其中未按规定落实安全管理制度的，1次加扣10分，扣完为止。</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69"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服务信用</w:t>
            </w:r>
          </w:p>
        </w:tc>
        <w:tc>
          <w:tcPr>
            <w:tcW w:w="992"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1373" w:type="dxa"/>
            <w:noWrap w:val="0"/>
            <w:vAlign w:val="center"/>
          </w:tcPr>
          <w:p>
            <w:pPr>
              <w:overflowPunct w:val="0"/>
              <w:contextualSpacing/>
              <w:rPr>
                <w:rFonts w:hint="eastAsia" w:ascii="仿宋_GB2312"/>
                <w:sz w:val="24"/>
                <w:szCs w:val="24"/>
              </w:rPr>
            </w:pPr>
            <w:r>
              <w:rPr>
                <w:rFonts w:hint="eastAsia" w:ascii="仿宋_GB2312"/>
                <w:sz w:val="24"/>
                <w:szCs w:val="24"/>
              </w:rPr>
              <w:t>被投诉案件情况</w:t>
            </w:r>
          </w:p>
        </w:tc>
        <w:tc>
          <w:tcPr>
            <w:tcW w:w="939" w:type="dxa"/>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742" w:type="dxa"/>
            <w:noWrap w:val="0"/>
            <w:vAlign w:val="center"/>
          </w:tcPr>
          <w:p>
            <w:pPr>
              <w:overflowPunct w:val="0"/>
              <w:contextualSpacing/>
              <w:rPr>
                <w:rFonts w:hint="eastAsia" w:ascii="仿宋_GB2312"/>
                <w:sz w:val="24"/>
                <w:szCs w:val="24"/>
              </w:rPr>
            </w:pPr>
            <w:r>
              <w:rPr>
                <w:rFonts w:hint="eastAsia" w:ascii="仿宋_GB2312"/>
                <w:sz w:val="24"/>
                <w:szCs w:val="24"/>
              </w:rPr>
              <w:t>被投诉及社会监督组织发现问题且属实的，每0.01次/车扣10分，扣完为止。</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69" w:type="dxa"/>
            <w:vMerge w:val="continue"/>
            <w:noWrap w:val="0"/>
            <w:vAlign w:val="center"/>
          </w:tcPr>
          <w:p>
            <w:pPr>
              <w:overflowPunct w:val="0"/>
              <w:contextualSpacing/>
              <w:jc w:val="center"/>
              <w:rPr>
                <w:rFonts w:hint="eastAsia" w:ascii="仿宋_GB2312"/>
                <w:sz w:val="24"/>
                <w:szCs w:val="24"/>
              </w:rPr>
            </w:pPr>
          </w:p>
        </w:tc>
        <w:tc>
          <w:tcPr>
            <w:tcW w:w="992" w:type="dxa"/>
            <w:vMerge w:val="continue"/>
            <w:noWrap w:val="0"/>
            <w:vAlign w:val="center"/>
          </w:tcPr>
          <w:p>
            <w:pPr>
              <w:overflowPunct w:val="0"/>
              <w:contextualSpacing/>
              <w:jc w:val="center"/>
              <w:rPr>
                <w:rFonts w:hint="eastAsia" w:ascii="仿宋_GB2312"/>
                <w:sz w:val="24"/>
                <w:szCs w:val="24"/>
              </w:rPr>
            </w:pPr>
          </w:p>
        </w:tc>
        <w:tc>
          <w:tcPr>
            <w:tcW w:w="1373" w:type="dxa"/>
            <w:noWrap w:val="0"/>
            <w:vAlign w:val="center"/>
          </w:tcPr>
          <w:p>
            <w:pPr>
              <w:overflowPunct w:val="0"/>
              <w:contextualSpacing/>
              <w:rPr>
                <w:rFonts w:hint="eastAsia" w:ascii="仿宋_GB2312"/>
                <w:sz w:val="24"/>
                <w:szCs w:val="24"/>
              </w:rPr>
            </w:pPr>
            <w:r>
              <w:rPr>
                <w:rFonts w:hint="eastAsia" w:ascii="仿宋_GB2312"/>
                <w:sz w:val="24"/>
                <w:szCs w:val="24"/>
              </w:rPr>
              <w:t>被媒体曝光负面事件情况</w:t>
            </w:r>
          </w:p>
        </w:tc>
        <w:tc>
          <w:tcPr>
            <w:tcW w:w="939" w:type="dxa"/>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742" w:type="dxa"/>
            <w:noWrap w:val="0"/>
            <w:vAlign w:val="center"/>
          </w:tcPr>
          <w:p>
            <w:pPr>
              <w:overflowPunct w:val="0"/>
              <w:contextualSpacing/>
              <w:rPr>
                <w:rFonts w:hint="eastAsia" w:ascii="仿宋_GB2312"/>
                <w:sz w:val="24"/>
                <w:szCs w:val="24"/>
              </w:rPr>
            </w:pPr>
            <w:r>
              <w:rPr>
                <w:rFonts w:hint="eastAsia" w:ascii="仿宋_GB2312"/>
                <w:sz w:val="24"/>
                <w:szCs w:val="24"/>
              </w:rPr>
              <w:t>被新闻媒体曝光的，每次扣20分，情节特别恶劣的，扣100分，扣完为止。</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69"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992"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373" w:type="dxa"/>
            <w:noWrap w:val="0"/>
            <w:vAlign w:val="center"/>
          </w:tcPr>
          <w:p>
            <w:pPr>
              <w:overflowPunct w:val="0"/>
              <w:contextualSpacing/>
              <w:rPr>
                <w:rFonts w:hint="eastAsia" w:ascii="仿宋_GB2312"/>
                <w:sz w:val="24"/>
                <w:szCs w:val="24"/>
              </w:rPr>
            </w:pPr>
            <w:r>
              <w:rPr>
                <w:rFonts w:hint="eastAsia" w:ascii="仿宋_GB2312"/>
                <w:sz w:val="24"/>
                <w:szCs w:val="24"/>
              </w:rPr>
              <w:t>被公安机关交通管理部门行政处罚情况</w:t>
            </w:r>
          </w:p>
        </w:tc>
        <w:tc>
          <w:tcPr>
            <w:tcW w:w="939" w:type="dxa"/>
            <w:noWrap w:val="0"/>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2742" w:type="dxa"/>
            <w:noWrap w:val="0"/>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公安厅交管</w:t>
            </w:r>
          </w:p>
          <w:p>
            <w:pPr>
              <w:overflowPunct w:val="0"/>
              <w:contextualSpacing/>
              <w:jc w:val="center"/>
              <w:rPr>
                <w:rFonts w:hint="eastAsia" w:ascii="仿宋_GB2312"/>
                <w:sz w:val="24"/>
                <w:szCs w:val="24"/>
              </w:rPr>
            </w:pPr>
            <w:r>
              <w:rPr>
                <w:rFonts w:hint="eastAsia" w:ascii="仿宋_GB2312"/>
                <w:sz w:val="24"/>
                <w:szCs w:val="24"/>
              </w:rPr>
              <w:t>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69" w:type="dxa"/>
            <w:vMerge w:val="continue"/>
            <w:noWrap w:val="0"/>
            <w:vAlign w:val="center"/>
          </w:tcPr>
          <w:p>
            <w:pPr>
              <w:overflowPunct w:val="0"/>
              <w:contextualSpacing/>
              <w:jc w:val="center"/>
              <w:rPr>
                <w:rFonts w:hint="eastAsia" w:ascii="仿宋_GB2312"/>
                <w:sz w:val="24"/>
                <w:szCs w:val="24"/>
              </w:rPr>
            </w:pPr>
          </w:p>
        </w:tc>
        <w:tc>
          <w:tcPr>
            <w:tcW w:w="992" w:type="dxa"/>
            <w:vMerge w:val="continue"/>
            <w:noWrap w:val="0"/>
            <w:vAlign w:val="center"/>
          </w:tcPr>
          <w:p>
            <w:pPr>
              <w:overflowPunct w:val="0"/>
              <w:contextualSpacing/>
              <w:jc w:val="center"/>
              <w:rPr>
                <w:rFonts w:hint="eastAsia" w:ascii="仿宋_GB2312"/>
                <w:sz w:val="24"/>
                <w:szCs w:val="24"/>
              </w:rPr>
            </w:pPr>
          </w:p>
        </w:tc>
        <w:tc>
          <w:tcPr>
            <w:tcW w:w="1373" w:type="dxa"/>
            <w:noWrap w:val="0"/>
            <w:vAlign w:val="center"/>
          </w:tcPr>
          <w:p>
            <w:pPr>
              <w:overflowPunct w:val="0"/>
              <w:contextualSpacing/>
              <w:rPr>
                <w:rFonts w:hint="eastAsia" w:ascii="仿宋_GB2312"/>
                <w:sz w:val="24"/>
                <w:szCs w:val="24"/>
              </w:rPr>
            </w:pPr>
            <w:r>
              <w:rPr>
                <w:rFonts w:hint="eastAsia" w:ascii="仿宋_GB2312"/>
                <w:sz w:val="24"/>
                <w:szCs w:val="24"/>
              </w:rPr>
              <w:t>被列入重点安全监管企业名单情况</w:t>
            </w:r>
          </w:p>
        </w:tc>
        <w:tc>
          <w:tcPr>
            <w:tcW w:w="939" w:type="dxa"/>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742" w:type="dxa"/>
            <w:noWrap w:val="0"/>
            <w:vAlign w:val="center"/>
          </w:tcPr>
          <w:p>
            <w:pPr>
              <w:overflowPunct w:val="0"/>
              <w:contextualSpacing/>
              <w:rPr>
                <w:rFonts w:hint="eastAsia" w:ascii="仿宋_GB2312"/>
                <w:sz w:val="24"/>
                <w:szCs w:val="24"/>
              </w:rPr>
            </w:pPr>
            <w:r>
              <w:rPr>
                <w:rFonts w:hint="eastAsia" w:ascii="仿宋_GB2312"/>
                <w:sz w:val="24"/>
                <w:szCs w:val="24"/>
              </w:rPr>
              <w:t>被省级管理部门列入重点安全监管企业名单的，扣100分；被市级管理部门列入重点安全监管企业名单的，扣50分。</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324" w:hRule="atLeast"/>
          <w:jc w:val="center"/>
        </w:trPr>
        <w:tc>
          <w:tcPr>
            <w:tcW w:w="79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669"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992"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37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lang w:bidi="ar"/>
              </w:rPr>
              <w:t>发生行车事故情况</w:t>
            </w:r>
          </w:p>
        </w:tc>
        <w:tc>
          <w:tcPr>
            <w:tcW w:w="93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742" w:type="dxa"/>
            <w:noWrap w:val="0"/>
            <w:tcMar>
              <w:top w:w="85" w:type="dxa"/>
              <w:bottom w:w="85" w:type="dxa"/>
            </w:tcMar>
            <w:vAlign w:val="center"/>
          </w:tcPr>
          <w:p>
            <w:pPr>
              <w:overflowPunct w:val="0"/>
              <w:contextualSpacing/>
              <w:rPr>
                <w:rFonts w:hint="eastAsia" w:ascii="仿宋_GB2312"/>
                <w:spacing w:val="-4"/>
                <w:sz w:val="24"/>
                <w:szCs w:val="24"/>
              </w:rPr>
            </w:pPr>
            <w:r>
              <w:rPr>
                <w:rFonts w:hint="eastAsia" w:ascii="仿宋_GB2312"/>
                <w:spacing w:val="-4"/>
                <w:sz w:val="24"/>
                <w:szCs w:val="24"/>
              </w:rPr>
              <w:t>发生亡人事故但责任未确定或负次责的，每死亡1人扣20分；发生事故未造成人员死亡但引起社会较大关注的，每起扣20分，扣完为止。发生事故后瞒报信息的（超过7天未上报，视作瞒报），100分扣完。</w:t>
            </w:r>
          </w:p>
        </w:tc>
        <w:tc>
          <w:tcPr>
            <w:tcW w:w="133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公安数据</w:t>
            </w:r>
          </w:p>
          <w:p>
            <w:pPr>
              <w:overflowPunct w:val="0"/>
              <w:contextualSpacing/>
              <w:jc w:val="center"/>
              <w:rPr>
                <w:rFonts w:hint="eastAsia" w:ascii="仿宋_GB2312"/>
                <w:sz w:val="24"/>
                <w:szCs w:val="24"/>
              </w:rPr>
            </w:pPr>
            <w:r>
              <w:rPr>
                <w:rFonts w:hint="eastAsia" w:ascii="仿宋_GB2312"/>
                <w:sz w:val="24"/>
                <w:szCs w:val="24"/>
              </w:rPr>
              <w:t>共享与行业</w:t>
            </w:r>
          </w:p>
          <w:p>
            <w:pPr>
              <w:overflowPunct w:val="0"/>
              <w:contextualSpacing/>
              <w:jc w:val="center"/>
              <w:rPr>
                <w:rFonts w:hint="eastAsia" w:ascii="仿宋_GB2312"/>
                <w:sz w:val="24"/>
                <w:szCs w:val="24"/>
              </w:rPr>
            </w:pPr>
            <w:r>
              <w:rPr>
                <w:rFonts w:hint="eastAsia" w:ascii="仿宋_GB2312"/>
                <w:sz w:val="24"/>
                <w:szCs w:val="24"/>
              </w:rPr>
              <w:t>内部数据</w:t>
            </w:r>
          </w:p>
          <w:p>
            <w:pPr>
              <w:overflowPunct w:val="0"/>
              <w:contextualSpacing/>
              <w:jc w:val="center"/>
              <w:rPr>
                <w:rFonts w:hint="eastAsia" w:ascii="仿宋_GB2312"/>
                <w:sz w:val="24"/>
                <w:szCs w:val="24"/>
              </w:rPr>
            </w:pPr>
            <w:r>
              <w:rPr>
                <w:rFonts w:hint="eastAsia" w:ascii="仿宋_GB2312"/>
                <w:sz w:val="24"/>
                <w:szCs w:val="24"/>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669"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992"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37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发生行业</w:t>
            </w:r>
            <w:r>
              <w:rPr>
                <w:rFonts w:hint="eastAsia" w:ascii="仿宋_GB2312"/>
                <w:sz w:val="24"/>
                <w:szCs w:val="24"/>
                <w:lang w:val="zh-CN"/>
              </w:rPr>
              <w:t>同责以上亡人事故情况</w:t>
            </w:r>
          </w:p>
        </w:tc>
        <w:tc>
          <w:tcPr>
            <w:tcW w:w="93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2742"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发生同责以上亡人事故1-2人的，每次扣100分；发生同责以上亡人事故3-9人的，每次扣200分，扣完为止。</w:t>
            </w:r>
          </w:p>
        </w:tc>
        <w:tc>
          <w:tcPr>
            <w:tcW w:w="133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公安数据</w:t>
            </w:r>
          </w:p>
          <w:p>
            <w:pPr>
              <w:overflowPunct w:val="0"/>
              <w:contextualSpacing/>
              <w:jc w:val="center"/>
              <w:rPr>
                <w:rFonts w:hint="eastAsia" w:ascii="仿宋_GB2312"/>
                <w:sz w:val="24"/>
                <w:szCs w:val="24"/>
              </w:rPr>
            </w:pPr>
            <w:r>
              <w:rPr>
                <w:rFonts w:hint="eastAsia" w:ascii="仿宋_GB2312"/>
                <w:sz w:val="24"/>
                <w:szCs w:val="24"/>
              </w:rPr>
              <w:t>共享与行业</w:t>
            </w:r>
          </w:p>
          <w:p>
            <w:pPr>
              <w:overflowPunct w:val="0"/>
              <w:contextualSpacing/>
              <w:jc w:val="center"/>
              <w:rPr>
                <w:rFonts w:hint="eastAsia" w:ascii="仿宋_GB2312"/>
                <w:sz w:val="24"/>
                <w:szCs w:val="24"/>
              </w:rPr>
            </w:pPr>
            <w:r>
              <w:rPr>
                <w:rFonts w:hint="eastAsia" w:ascii="仿宋_GB2312"/>
                <w:sz w:val="24"/>
                <w:szCs w:val="24"/>
              </w:rPr>
              <w:t>内部数据</w:t>
            </w:r>
          </w:p>
          <w:p>
            <w:pPr>
              <w:overflowPunct w:val="0"/>
              <w:contextualSpacing/>
              <w:jc w:val="center"/>
              <w:rPr>
                <w:rFonts w:hint="eastAsia" w:ascii="仿宋_GB2312"/>
                <w:sz w:val="24"/>
                <w:szCs w:val="24"/>
              </w:rPr>
            </w:pPr>
            <w:r>
              <w:rPr>
                <w:rFonts w:hint="eastAsia" w:ascii="仿宋_GB2312"/>
                <w:sz w:val="24"/>
                <w:szCs w:val="24"/>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669"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992"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37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被停业整顿</w:t>
            </w:r>
          </w:p>
        </w:tc>
        <w:tc>
          <w:tcPr>
            <w:tcW w:w="93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2742"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因存在严重安全隐患，被勒令停业整顿的，每发生一次扣100分，扣完为止。</w:t>
            </w:r>
          </w:p>
        </w:tc>
        <w:tc>
          <w:tcPr>
            <w:tcW w:w="133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6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公共信用</w:t>
            </w:r>
          </w:p>
        </w:tc>
        <w:tc>
          <w:tcPr>
            <w:tcW w:w="992"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37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w:t>
            </w:r>
          </w:p>
        </w:tc>
        <w:tc>
          <w:tcPr>
            <w:tcW w:w="93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2742"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根据省信用办提供的企业公共信用分值按比例进行换算。</w:t>
            </w:r>
          </w:p>
        </w:tc>
        <w:tc>
          <w:tcPr>
            <w:tcW w:w="133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省大数据局</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13</w:t>
            </w:r>
          </w:p>
        </w:tc>
        <w:tc>
          <w:tcPr>
            <w:tcW w:w="669"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加</w:t>
            </w:r>
          </w:p>
          <w:p>
            <w:pPr>
              <w:overflowPunct w:val="0"/>
              <w:contextualSpacing/>
              <w:jc w:val="center"/>
              <w:rPr>
                <w:rFonts w:hint="eastAsia" w:ascii="仿宋_GB2312"/>
                <w:sz w:val="24"/>
                <w:szCs w:val="24"/>
              </w:rPr>
            </w:pPr>
            <w:r>
              <w:rPr>
                <w:rFonts w:hint="eastAsia" w:ascii="仿宋_GB2312"/>
                <w:sz w:val="24"/>
                <w:szCs w:val="24"/>
              </w:rPr>
              <w:t>分</w:t>
            </w:r>
          </w:p>
          <w:p>
            <w:pPr>
              <w:overflowPunct w:val="0"/>
              <w:contextualSpacing/>
              <w:jc w:val="center"/>
              <w:rPr>
                <w:rFonts w:hint="eastAsia" w:ascii="仿宋_GB2312"/>
                <w:sz w:val="24"/>
                <w:szCs w:val="24"/>
              </w:rPr>
            </w:pPr>
            <w:r>
              <w:rPr>
                <w:rFonts w:hint="eastAsia" w:ascii="仿宋_GB2312"/>
                <w:sz w:val="24"/>
                <w:szCs w:val="24"/>
              </w:rPr>
              <w:t>项</w:t>
            </w:r>
          </w:p>
        </w:tc>
        <w:tc>
          <w:tcPr>
            <w:tcW w:w="992"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37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获得省部级以上荣誉称号情况</w:t>
            </w:r>
          </w:p>
        </w:tc>
        <w:tc>
          <w:tcPr>
            <w:tcW w:w="93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742" w:type="dxa"/>
            <w:noWrap w:val="0"/>
            <w:tcMar>
              <w:top w:w="85" w:type="dxa"/>
              <w:bottom w:w="85" w:type="dxa"/>
            </w:tcMar>
            <w:vAlign w:val="center"/>
          </w:tcPr>
          <w:p>
            <w:pPr>
              <w:tabs>
                <w:tab w:val="left" w:pos="633"/>
              </w:tabs>
              <w:overflowPunct w:val="0"/>
              <w:contextualSpacing/>
              <w:rPr>
                <w:rFonts w:hint="eastAsia" w:ascii="仿宋_GB2312"/>
                <w:sz w:val="24"/>
                <w:szCs w:val="24"/>
              </w:rPr>
            </w:pPr>
            <w:r>
              <w:rPr>
                <w:rFonts w:hint="eastAsia" w:ascii="仿宋_GB2312"/>
                <w:sz w:val="24"/>
                <w:szCs w:val="24"/>
              </w:rPr>
              <w:t>获得国家部委、省级党政机关以上单位（不含下设机构）授予的在评优创先、安全生产、文明服务、精神文明建设方面的集体荣誉称号的，加20分。</w:t>
            </w:r>
          </w:p>
        </w:tc>
        <w:tc>
          <w:tcPr>
            <w:tcW w:w="133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14</w:t>
            </w:r>
          </w:p>
        </w:tc>
        <w:tc>
          <w:tcPr>
            <w:tcW w:w="669"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992"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37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93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30</w:t>
            </w:r>
          </w:p>
        </w:tc>
        <w:tc>
          <w:tcPr>
            <w:tcW w:w="2742"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lang w:val="zh-CN"/>
              </w:rPr>
              <w:t>配合处置突发事件、参与应急抢险、自然灾害救援的，1次加10分；企业驾驶员</w:t>
            </w:r>
            <w:r>
              <w:rPr>
                <w:rFonts w:hint="eastAsia" w:ascii="仿宋_GB2312"/>
                <w:sz w:val="24"/>
                <w:szCs w:val="24"/>
              </w:rPr>
              <w:t>有见义勇为、救死扶伤、拾金不昧等事迹的，每1起加5分，加满为止。</w:t>
            </w:r>
          </w:p>
        </w:tc>
        <w:tc>
          <w:tcPr>
            <w:tcW w:w="133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9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15</w:t>
            </w:r>
          </w:p>
        </w:tc>
        <w:tc>
          <w:tcPr>
            <w:tcW w:w="669"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992"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37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市级主管部门设置的其他加分</w:t>
            </w:r>
          </w:p>
        </w:tc>
        <w:tc>
          <w:tcPr>
            <w:tcW w:w="93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42"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各地按照企业情况可给予50分、30分、10分三个档次的加分。</w:t>
            </w:r>
          </w:p>
        </w:tc>
        <w:tc>
          <w:tcPr>
            <w:tcW w:w="133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09" w:type="dxa"/>
            <w:gridSpan w:val="6"/>
            <w:noWrap w:val="0"/>
            <w:vAlign w:val="center"/>
          </w:tcPr>
          <w:p>
            <w:pPr>
              <w:overflowPunct w:val="0"/>
              <w:contextualSpacing/>
              <w:rPr>
                <w:rFonts w:hint="eastAsia" w:ascii="仿宋_GB2312"/>
                <w:sz w:val="24"/>
                <w:szCs w:val="24"/>
              </w:rPr>
            </w:pPr>
            <w:r>
              <w:rPr>
                <w:rFonts w:hint="eastAsia" w:ascii="仿宋_GB2312"/>
                <w:sz w:val="24"/>
                <w:szCs w:val="24"/>
              </w:rPr>
              <w:t>凡发生以下行为之一的，本年度信用分直接扣500分：</w:t>
            </w:r>
          </w:p>
          <w:p>
            <w:pPr>
              <w:overflowPunct w:val="0"/>
              <w:contextualSpacing/>
              <w:rPr>
                <w:rFonts w:hint="eastAsia" w:ascii="仿宋_GB2312"/>
                <w:sz w:val="24"/>
                <w:szCs w:val="24"/>
              </w:rPr>
            </w:pPr>
            <w:r>
              <w:rPr>
                <w:rFonts w:hint="eastAsia" w:ascii="仿宋_GB2312"/>
                <w:sz w:val="24"/>
                <w:szCs w:val="24"/>
              </w:rPr>
              <w:t>（一）道路运输企业因违反道路运输相关法律法规被吊销道路运输经营许可的；</w:t>
            </w:r>
          </w:p>
          <w:p>
            <w:pPr>
              <w:overflowPunct w:val="0"/>
              <w:contextualSpacing/>
              <w:rPr>
                <w:rFonts w:hint="eastAsia" w:ascii="仿宋_GB2312"/>
                <w:sz w:val="24"/>
                <w:szCs w:val="24"/>
              </w:rPr>
            </w:pPr>
            <w:r>
              <w:rPr>
                <w:rFonts w:hint="eastAsia" w:ascii="仿宋_GB2312"/>
                <w:sz w:val="24"/>
                <w:szCs w:val="24"/>
              </w:rPr>
              <w:t>（二）企业1年内违反道路运输相关法律法规车辆超过本单位总数50%的；</w:t>
            </w:r>
          </w:p>
          <w:p>
            <w:pPr>
              <w:overflowPunct w:val="0"/>
              <w:contextualSpacing/>
              <w:rPr>
                <w:rFonts w:hint="eastAsia" w:ascii="仿宋_GB2312"/>
                <w:sz w:val="24"/>
                <w:szCs w:val="24"/>
              </w:rPr>
            </w:pPr>
            <w:r>
              <w:rPr>
                <w:rFonts w:hint="eastAsia" w:ascii="仿宋_GB2312"/>
                <w:sz w:val="24"/>
                <w:szCs w:val="24"/>
              </w:rPr>
              <w:t>（三）故意瞒报</w:t>
            </w:r>
            <w:r>
              <w:rPr>
                <w:rFonts w:hint="eastAsia" w:ascii="仿宋_GB2312"/>
                <w:sz w:val="24"/>
                <w:szCs w:val="24"/>
                <w:lang w:bidi="ar"/>
              </w:rPr>
              <w:t>行车</w:t>
            </w:r>
            <w:r>
              <w:rPr>
                <w:rFonts w:hint="eastAsia" w:ascii="仿宋_GB2312"/>
                <w:sz w:val="24"/>
                <w:szCs w:val="24"/>
              </w:rPr>
              <w:t>亡人责任事故信息的；</w:t>
            </w:r>
          </w:p>
          <w:p>
            <w:pPr>
              <w:overflowPunct w:val="0"/>
              <w:contextualSpacing/>
              <w:rPr>
                <w:rFonts w:hint="eastAsia" w:ascii="仿宋_GB2312"/>
                <w:sz w:val="24"/>
                <w:szCs w:val="24"/>
              </w:rPr>
            </w:pPr>
            <w:r>
              <w:rPr>
                <w:rFonts w:hint="eastAsia" w:ascii="仿宋_GB2312"/>
                <w:sz w:val="24"/>
                <w:szCs w:val="24"/>
              </w:rPr>
              <w:t>（四）组织煽动从业人员进行上访、罢工、闹事，引发群体性事件造成恶劣影响的。</w:t>
            </w:r>
          </w:p>
          <w:p>
            <w:pPr>
              <w:overflowPunct w:val="0"/>
              <w:contextualSpacing/>
              <w:rPr>
                <w:rFonts w:hint="eastAsia" w:ascii="仿宋_GB2312"/>
                <w:sz w:val="24"/>
                <w:szCs w:val="24"/>
              </w:rPr>
            </w:pPr>
            <w:r>
              <w:rPr>
                <w:rFonts w:hint="eastAsia" w:ascii="仿宋_GB2312"/>
                <w:sz w:val="24"/>
                <w:szCs w:val="24"/>
                <w:lang w:val="zh-CN"/>
              </w:rPr>
              <w:t>凡发生《浙江省道路运输企业信用管理实施细则》第十二条行为之一的，本年度信用分直接扣500分。</w:t>
            </w:r>
          </w:p>
        </w:tc>
        <w:tc>
          <w:tcPr>
            <w:tcW w:w="1336"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bl>
    <w:p>
      <w:pPr>
        <w:overflowPunct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spacing w:line="340" w:lineRule="exact"/>
        <w:ind w:firstLine="480" w:firstLineChars="200"/>
        <w:rPr>
          <w:rFonts w:hint="eastAsia" w:ascii="黑体" w:hAnsi="黑体" w:eastAsia="黑体"/>
          <w:sz w:val="24"/>
          <w:szCs w:val="28"/>
        </w:rPr>
      </w:pPr>
      <w:r>
        <w:rPr>
          <w:rFonts w:hint="eastAsia" w:ascii="黑体" w:hAnsi="黑体" w:eastAsia="黑体"/>
          <w:sz w:val="24"/>
          <w:szCs w:val="28"/>
        </w:rPr>
        <w:t>一、按照企业排序进行扣分的具体规则，按照此指标下的企业从低到高进行排名，不同排名扣除不同分值的方式</w:t>
      </w:r>
    </w:p>
    <w:p>
      <w:pPr>
        <w:overflowPunct w:val="0"/>
        <w:spacing w:line="340" w:lineRule="exact"/>
        <w:ind w:firstLine="480" w:firstLineChars="200"/>
        <w:rPr>
          <w:rFonts w:hint="eastAsia" w:ascii="仿宋_GB2312"/>
          <w:sz w:val="24"/>
          <w:szCs w:val="28"/>
        </w:rPr>
      </w:pPr>
      <w:r>
        <w:rPr>
          <w:rFonts w:hint="eastAsia" w:ascii="仿宋_GB2312"/>
          <w:sz w:val="24"/>
          <w:szCs w:val="28"/>
        </w:rPr>
        <w:t>1. 首先将企业按照指标数据从小到大排序；</w:t>
      </w:r>
    </w:p>
    <w:p>
      <w:pPr>
        <w:overflowPunct w:val="0"/>
        <w:spacing w:line="340" w:lineRule="exact"/>
        <w:ind w:firstLine="480" w:firstLineChars="200"/>
        <w:rPr>
          <w:rFonts w:hint="eastAsia" w:ascii="仿宋_GB2312"/>
          <w:sz w:val="24"/>
          <w:szCs w:val="28"/>
        </w:rPr>
      </w:pPr>
      <w:r>
        <w:rPr>
          <w:rFonts w:hint="eastAsia" w:ascii="仿宋_GB2312"/>
          <w:sz w:val="24"/>
          <w:szCs w:val="28"/>
        </w:rPr>
        <w:t>2. 按照排序好的企业，计算该企业在总体企业中的位置，例如处于前20%的位置，就扣除该指标分值*0.2的分数（二级指标为10分，扣除分数为10*0.2=2分）。</w:t>
      </w:r>
    </w:p>
    <w:p>
      <w:pPr>
        <w:overflowPunct w:val="0"/>
        <w:spacing w:line="340" w:lineRule="exact"/>
        <w:ind w:firstLine="480" w:firstLineChars="200"/>
        <w:rPr>
          <w:rFonts w:hint="eastAsia" w:ascii="黑体" w:hAnsi="黑体" w:eastAsia="黑体"/>
          <w:sz w:val="24"/>
          <w:szCs w:val="28"/>
        </w:rPr>
      </w:pPr>
      <w:r>
        <w:rPr>
          <w:rFonts w:hint="eastAsia" w:ascii="黑体" w:hAnsi="黑体" w:eastAsia="黑体"/>
          <w:sz w:val="24"/>
          <w:szCs w:val="28"/>
        </w:rPr>
        <w:t>二、对综合监管平台中被责令整改率、被交通运输部门行政处罚情况、被公安机关交通管理部门行政处罚情况的具体解释</w:t>
      </w:r>
    </w:p>
    <w:p>
      <w:pPr>
        <w:overflowPunct w:val="0"/>
        <w:spacing w:line="340" w:lineRule="exact"/>
        <w:ind w:firstLine="480" w:firstLineChars="200"/>
        <w:rPr>
          <w:rFonts w:hint="eastAsia" w:ascii="仿宋_GB2312"/>
          <w:sz w:val="24"/>
          <w:szCs w:val="28"/>
        </w:rPr>
      </w:pPr>
      <w:r>
        <w:rPr>
          <w:rFonts w:hint="eastAsia" w:ascii="仿宋_GB2312"/>
          <w:sz w:val="24"/>
          <w:szCs w:val="28"/>
        </w:rPr>
        <w:t>综合监管平台中被责令整改率：评价周期内企业已整改单数/该企业当前营运车辆总数；</w:t>
      </w:r>
    </w:p>
    <w:p>
      <w:pPr>
        <w:overflowPunct w:val="0"/>
        <w:spacing w:line="340" w:lineRule="exact"/>
        <w:ind w:firstLine="480" w:firstLineChars="200"/>
        <w:rPr>
          <w:rFonts w:hint="eastAsia" w:ascii="仿宋_GB2312"/>
          <w:sz w:val="24"/>
          <w:szCs w:val="28"/>
        </w:rPr>
      </w:pPr>
      <w:r>
        <w:rPr>
          <w:rFonts w:hint="eastAsia" w:ascii="仿宋_GB2312"/>
          <w:sz w:val="24"/>
          <w:szCs w:val="28"/>
        </w:rPr>
        <w:t>被交通运输部门行政处罚情况：评价周期内企业被交通运输部门行政处罚数/该企业当前营运车辆总数；</w:t>
      </w:r>
    </w:p>
    <w:p>
      <w:pPr>
        <w:overflowPunct w:val="0"/>
        <w:spacing w:line="340" w:lineRule="exact"/>
        <w:ind w:firstLine="480" w:firstLineChars="200"/>
        <w:rPr>
          <w:rFonts w:hint="eastAsia" w:ascii="仿宋_GB2312"/>
          <w:sz w:val="24"/>
          <w:szCs w:val="28"/>
        </w:rPr>
      </w:pPr>
      <w:r>
        <w:rPr>
          <w:rFonts w:hint="eastAsia" w:ascii="仿宋_GB2312"/>
          <w:sz w:val="24"/>
          <w:szCs w:val="28"/>
        </w:rPr>
        <w:t>被公安机关交通管理部门行政处罚情况：评价周期内企业所属营运车辆被公安机关交通管理部门行政处罚数/该企业当前营运车辆总数。</w:t>
      </w:r>
    </w:p>
    <w:p>
      <w:pPr>
        <w:overflowPunct w:val="0"/>
        <w:spacing w:line="340" w:lineRule="exact"/>
        <w:ind w:firstLine="480" w:firstLineChars="200"/>
        <w:rPr>
          <w:rFonts w:hint="eastAsia" w:ascii="黑体" w:hAnsi="黑体" w:eastAsia="黑体"/>
          <w:sz w:val="24"/>
          <w:szCs w:val="28"/>
        </w:rPr>
      </w:pPr>
      <w:r>
        <w:rPr>
          <w:rFonts w:hint="eastAsia" w:ascii="黑体" w:hAnsi="黑体" w:eastAsia="黑体"/>
          <w:sz w:val="24"/>
          <w:szCs w:val="28"/>
        </w:rPr>
        <w:t>三、关于手工录入部分省、市、县分工说明</w:t>
      </w:r>
    </w:p>
    <w:p>
      <w:pPr>
        <w:overflowPunct w:val="0"/>
        <w:spacing w:line="34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除被媒体曝光负面事件由市级交通运输部门负责外，其他手工录入数据按照信息来源，由省、市、县分别录入。具体说明如下：</w:t>
      </w:r>
    </w:p>
    <w:p>
      <w:pPr>
        <w:overflowPunct w:val="0"/>
        <w:spacing w:line="340" w:lineRule="exact"/>
        <w:ind w:firstLine="480" w:firstLineChars="200"/>
        <w:rPr>
          <w:rFonts w:hint="eastAsia" w:ascii="仿宋_GB2312"/>
          <w:sz w:val="24"/>
          <w:szCs w:val="28"/>
        </w:rPr>
      </w:pPr>
      <w:r>
        <w:rPr>
          <w:rFonts w:hint="eastAsia" w:ascii="仿宋_GB2312"/>
          <w:sz w:val="24"/>
          <w:szCs w:val="28"/>
        </w:rPr>
        <w:t>1.被省级列入省级重点安全监管企业、获得省部级以上荣誉称号的，由省级相关部门录入；</w:t>
      </w:r>
    </w:p>
    <w:p>
      <w:pPr>
        <w:overflowPunct w:val="0"/>
        <w:spacing w:line="340" w:lineRule="exact"/>
        <w:ind w:firstLine="480" w:firstLineChars="200"/>
        <w:rPr>
          <w:rFonts w:hint="eastAsia" w:ascii="仿宋_GB2312"/>
          <w:sz w:val="24"/>
          <w:szCs w:val="28"/>
        </w:rPr>
      </w:pPr>
      <w:r>
        <w:rPr>
          <w:rFonts w:hint="eastAsia" w:ascii="仿宋_GB2312"/>
          <w:sz w:val="24"/>
          <w:szCs w:val="28"/>
        </w:rPr>
        <w:t>2.被市级列入重点安全监管企业名单、被12345/12328投诉、被处以停业整顿、发生恶劣群体性事件、红黑名单认定行为的，由市级相关部门录入；</w:t>
      </w:r>
    </w:p>
    <w:p>
      <w:pPr>
        <w:overflowPunct w:val="0"/>
        <w:spacing w:line="340" w:lineRule="exact"/>
        <w:ind w:firstLine="480" w:firstLineChars="200"/>
        <w:rPr>
          <w:rFonts w:hAnsi="黑体" w:eastAsia="黑体"/>
          <w:szCs w:val="32"/>
        </w:rPr>
      </w:pPr>
      <w:r>
        <w:rPr>
          <w:rFonts w:hint="eastAsia" w:ascii="仿宋_GB2312"/>
          <w:sz w:val="24"/>
          <w:szCs w:val="28"/>
        </w:rPr>
        <w:t>3.被县级12345/12328投诉信息、事故相关信息、企业安全生产标准化建设达标情况、参与社会公益及应急救援等信息的，由县级相关部门录入。</w:t>
      </w:r>
      <w:r>
        <w:rPr>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4</w:t>
      </w:r>
    </w:p>
    <w:p>
      <w:pPr>
        <w:overflowPunct w:val="0"/>
        <w:autoSpaceDE w:val="0"/>
        <w:adjustRightInd w:val="0"/>
        <w:spacing w:line="590" w:lineRule="exact"/>
        <w:ind w:firstLine="640" w:firstLineChars="200"/>
        <w:rPr>
          <w:szCs w:val="32"/>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道路普通货物运输企业信用评价标准</w:t>
      </w:r>
    </w:p>
    <w:p>
      <w:pPr>
        <w:overflowPunct w:val="0"/>
        <w:spacing w:line="59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56"/>
        <w:gridCol w:w="693"/>
        <w:gridCol w:w="968"/>
        <w:gridCol w:w="1463"/>
        <w:gridCol w:w="1028"/>
        <w:gridCol w:w="2673"/>
        <w:gridCol w:w="1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656"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9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96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w:t>
            </w:r>
          </w:p>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标分值</w:t>
            </w:r>
          </w:p>
        </w:tc>
        <w:tc>
          <w:tcPr>
            <w:tcW w:w="146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102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67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6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93"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968" w:type="dxa"/>
            <w:noWrap w:val="0"/>
            <w:tcMar>
              <w:top w:w="0" w:type="dxa"/>
              <w:bottom w:w="0"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50</w:t>
            </w:r>
          </w:p>
        </w:tc>
        <w:tc>
          <w:tcPr>
            <w:tcW w:w="1463" w:type="dxa"/>
            <w:noWrap w:val="0"/>
            <w:tcMar>
              <w:top w:w="0" w:type="dxa"/>
              <w:bottom w:w="0" w:type="dxa"/>
            </w:tcMar>
            <w:vAlign w:val="center"/>
          </w:tcPr>
          <w:p>
            <w:pPr>
              <w:overflowPunct w:val="0"/>
              <w:contextualSpacing/>
              <w:textAlignment w:val="center"/>
              <w:rPr>
                <w:rFonts w:hint="eastAsia" w:ascii="仿宋_GB2312"/>
                <w:sz w:val="24"/>
                <w:szCs w:val="24"/>
              </w:rPr>
            </w:pPr>
            <w:r>
              <w:rPr>
                <w:rFonts w:hint="eastAsia" w:ascii="仿宋_GB2312"/>
                <w:sz w:val="24"/>
                <w:szCs w:val="24"/>
              </w:rPr>
              <w:t>信用承诺履行情况</w:t>
            </w:r>
          </w:p>
        </w:tc>
        <w:tc>
          <w:tcPr>
            <w:tcW w:w="1028" w:type="dxa"/>
            <w:noWrap w:val="0"/>
            <w:tcMar>
              <w:top w:w="0" w:type="dxa"/>
              <w:bottom w:w="0"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rPr>
              <w:t>50</w:t>
            </w:r>
          </w:p>
        </w:tc>
        <w:tc>
          <w:tcPr>
            <w:tcW w:w="2673" w:type="dxa"/>
            <w:noWrap w:val="0"/>
            <w:tcMar>
              <w:top w:w="0" w:type="dxa"/>
              <w:bottom w:w="0" w:type="dxa"/>
            </w:tcMar>
            <w:vAlign w:val="center"/>
          </w:tcPr>
          <w:p>
            <w:pPr>
              <w:overflowPunct w:val="0"/>
              <w:contextualSpacing/>
              <w:textAlignment w:val="center"/>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93"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市场</w:t>
            </w:r>
          </w:p>
          <w:p>
            <w:pPr>
              <w:overflowPunct w:val="0"/>
              <w:contextualSpacing/>
              <w:jc w:val="center"/>
              <w:rPr>
                <w:rFonts w:hint="eastAsia" w:ascii="仿宋_GB2312"/>
                <w:sz w:val="24"/>
                <w:szCs w:val="24"/>
              </w:rPr>
            </w:pPr>
            <w:r>
              <w:rPr>
                <w:rFonts w:hint="eastAsia" w:ascii="仿宋_GB2312"/>
                <w:sz w:val="24"/>
                <w:szCs w:val="24"/>
              </w:rPr>
              <w:t>信用</w:t>
            </w:r>
          </w:p>
        </w:tc>
        <w:tc>
          <w:tcPr>
            <w:tcW w:w="96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350</w:t>
            </w: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被交通运输行政处罚情况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350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每0.01次/车扣30分，扣完为止。</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93"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服务</w:t>
            </w:r>
          </w:p>
          <w:p>
            <w:pPr>
              <w:overflowPunct w:val="0"/>
              <w:contextualSpacing/>
              <w:jc w:val="center"/>
              <w:rPr>
                <w:rFonts w:hint="eastAsia" w:ascii="仿宋_GB2312"/>
                <w:sz w:val="24"/>
                <w:szCs w:val="24"/>
              </w:rPr>
            </w:pPr>
            <w:r>
              <w:rPr>
                <w:rFonts w:hint="eastAsia" w:ascii="仿宋_GB2312"/>
                <w:sz w:val="24"/>
                <w:szCs w:val="24"/>
              </w:rPr>
              <w:t>信用</w:t>
            </w:r>
          </w:p>
        </w:tc>
        <w:tc>
          <w:tcPr>
            <w:tcW w:w="968"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lang w:val="zh-CN"/>
              </w:rPr>
              <w:t>被投诉案件情况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60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被投诉及社会监督组织发现问题且属实的，1次扣20分，扣完为止。</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93"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968"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被媒体曝光负面事件情况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40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lang w:val="zh-CN"/>
              </w:rPr>
              <w:t>被新闻媒体曝光的，每次扣10分，情节特别恶劣的，扣40分，扣完为止。</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93"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安全</w:t>
            </w:r>
          </w:p>
          <w:p>
            <w:pPr>
              <w:overflowPunct w:val="0"/>
              <w:contextualSpacing/>
              <w:jc w:val="center"/>
              <w:rPr>
                <w:rFonts w:hint="eastAsia" w:ascii="仿宋_GB2312"/>
                <w:sz w:val="24"/>
                <w:szCs w:val="24"/>
              </w:rPr>
            </w:pPr>
            <w:r>
              <w:rPr>
                <w:rFonts w:hint="eastAsia" w:ascii="仿宋_GB2312"/>
                <w:sz w:val="24"/>
                <w:szCs w:val="24"/>
              </w:rPr>
              <w:t>信用</w:t>
            </w:r>
          </w:p>
        </w:tc>
        <w:tc>
          <w:tcPr>
            <w:tcW w:w="968"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非现场超限未处罚率</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每1次/车扣10分，扣完为止。</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93"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968"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被公安机关交通管理部门行政处罚情况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公安厅交管</w:t>
            </w:r>
          </w:p>
          <w:p>
            <w:pPr>
              <w:overflowPunct w:val="0"/>
              <w:contextualSpacing/>
              <w:jc w:val="center"/>
              <w:rPr>
                <w:rFonts w:hint="eastAsia" w:ascii="仿宋_GB2312"/>
                <w:sz w:val="24"/>
                <w:szCs w:val="24"/>
              </w:rPr>
            </w:pPr>
            <w:r>
              <w:rPr>
                <w:rFonts w:hint="eastAsia" w:ascii="仿宋_GB2312"/>
                <w:sz w:val="24"/>
                <w:szCs w:val="24"/>
              </w:rPr>
              <w:t>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93"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968"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被列入重点安全监管企业名单情况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lang w:val="zh-CN"/>
              </w:rPr>
              <w:t>被省级管理部门列入重点安全监管企业名单的，扣100分；被市级管理部门列入重点安全监管企业名单的，扣50分。</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93"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968"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lang w:bidi="ar"/>
              </w:rPr>
              <w:t>发生行车事故情况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673" w:type="dxa"/>
            <w:noWrap w:val="0"/>
            <w:tcMar>
              <w:top w:w="0" w:type="dxa"/>
              <w:bottom w:w="0" w:type="dxa"/>
            </w:tcMar>
            <w:vAlign w:val="center"/>
          </w:tcPr>
          <w:p>
            <w:pPr>
              <w:overflowPunct w:val="0"/>
              <w:contextualSpacing/>
              <w:rPr>
                <w:rFonts w:hint="eastAsia" w:ascii="仿宋_GB2312"/>
                <w:spacing w:val="-6"/>
                <w:sz w:val="24"/>
                <w:szCs w:val="24"/>
              </w:rPr>
            </w:pPr>
            <w:r>
              <w:rPr>
                <w:rFonts w:hint="eastAsia" w:ascii="仿宋_GB2312"/>
                <w:spacing w:val="-6"/>
                <w:sz w:val="24"/>
                <w:szCs w:val="24"/>
                <w:lang w:bidi="ar"/>
              </w:rPr>
              <w:t>发生亡人事故但责任未确定或负次责的，每死亡1人扣20分；发生事故未造成人员死亡但引起社会较大关注的，每起扣20分，扣完为止。</w:t>
            </w:r>
            <w:r>
              <w:rPr>
                <w:rFonts w:hint="eastAsia" w:ascii="仿宋_GB2312"/>
                <w:spacing w:val="-6"/>
                <w:sz w:val="24"/>
                <w:szCs w:val="24"/>
              </w:rPr>
              <w:t>发生事故后瞒报信息的（超过7天未上报，视作瞒报），100分扣完。</w:t>
            </w:r>
          </w:p>
        </w:tc>
        <w:tc>
          <w:tcPr>
            <w:tcW w:w="1364" w:type="dxa"/>
            <w:noWrap w:val="0"/>
            <w:tcMar>
              <w:top w:w="0" w:type="dxa"/>
              <w:bottom w:w="0" w:type="dxa"/>
            </w:tcMar>
            <w:vAlign w:val="center"/>
          </w:tcPr>
          <w:p>
            <w:pPr>
              <w:overflowPunct w:val="0"/>
              <w:contextualSpacing/>
              <w:jc w:val="center"/>
              <w:rPr>
                <w:rFonts w:hint="eastAsia" w:ascii="仿宋_GB2312"/>
                <w:sz w:val="24"/>
                <w:szCs w:val="24"/>
                <w:lang w:val="zh-CN"/>
              </w:rPr>
            </w:pPr>
            <w:r>
              <w:rPr>
                <w:rFonts w:hint="eastAsia" w:ascii="仿宋_GB2312"/>
                <w:sz w:val="24"/>
                <w:szCs w:val="24"/>
                <w:lang w:val="zh-CN"/>
              </w:rPr>
              <w:t>公安数据</w:t>
            </w:r>
          </w:p>
          <w:p>
            <w:pPr>
              <w:overflowPunct w:val="0"/>
              <w:contextualSpacing/>
              <w:jc w:val="center"/>
              <w:rPr>
                <w:rFonts w:hint="eastAsia" w:ascii="仿宋_GB2312"/>
                <w:sz w:val="24"/>
                <w:szCs w:val="24"/>
                <w:lang w:val="zh-CN"/>
              </w:rPr>
            </w:pPr>
            <w:r>
              <w:rPr>
                <w:rFonts w:hint="eastAsia" w:ascii="仿宋_GB2312"/>
                <w:sz w:val="24"/>
                <w:szCs w:val="24"/>
                <w:lang w:val="zh-CN"/>
              </w:rPr>
              <w:t>共享与行业</w:t>
            </w:r>
          </w:p>
          <w:p>
            <w:pPr>
              <w:overflowPunct w:val="0"/>
              <w:contextualSpacing/>
              <w:jc w:val="center"/>
              <w:rPr>
                <w:rFonts w:hint="eastAsia" w:ascii="仿宋_GB2312"/>
                <w:sz w:val="24"/>
                <w:szCs w:val="24"/>
                <w:lang w:val="zh-CN"/>
              </w:rPr>
            </w:pPr>
            <w:r>
              <w:rPr>
                <w:rFonts w:hint="eastAsia" w:ascii="仿宋_GB2312"/>
                <w:sz w:val="24"/>
                <w:szCs w:val="24"/>
                <w:lang w:val="zh-CN"/>
              </w:rPr>
              <w:t>内部数据</w:t>
            </w:r>
          </w:p>
          <w:p>
            <w:pPr>
              <w:overflowPunct w:val="0"/>
              <w:contextualSpacing/>
              <w:jc w:val="center"/>
              <w:rPr>
                <w:rFonts w:hint="eastAsia" w:ascii="仿宋_GB2312"/>
                <w:sz w:val="24"/>
                <w:szCs w:val="24"/>
              </w:rPr>
            </w:pPr>
            <w:r>
              <w:rPr>
                <w:rFonts w:hint="eastAsia" w:ascii="仿宋_GB2312"/>
                <w:sz w:val="24"/>
                <w:szCs w:val="24"/>
                <w:lang w:val="zh-CN"/>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693"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安全</w:t>
            </w:r>
          </w:p>
          <w:p>
            <w:pPr>
              <w:overflowPunct w:val="0"/>
              <w:contextualSpacing/>
              <w:jc w:val="center"/>
              <w:rPr>
                <w:rFonts w:hint="eastAsia" w:ascii="仿宋_GB2312"/>
                <w:sz w:val="24"/>
                <w:szCs w:val="24"/>
              </w:rPr>
            </w:pPr>
            <w:r>
              <w:rPr>
                <w:rFonts w:hint="eastAsia" w:ascii="仿宋_GB2312"/>
                <w:sz w:val="24"/>
                <w:szCs w:val="24"/>
              </w:rPr>
              <w:t>信用</w:t>
            </w:r>
          </w:p>
        </w:tc>
        <w:tc>
          <w:tcPr>
            <w:tcW w:w="968"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发生行业</w:t>
            </w:r>
            <w:r>
              <w:rPr>
                <w:rFonts w:hint="eastAsia" w:ascii="仿宋_GB2312"/>
                <w:sz w:val="24"/>
                <w:szCs w:val="24"/>
                <w:lang w:val="zh-CN"/>
              </w:rPr>
              <w:t>同责以上亡人事故情况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2673" w:type="dxa"/>
            <w:noWrap w:val="0"/>
            <w:tcMar>
              <w:top w:w="0" w:type="dxa"/>
              <w:bottom w:w="0" w:type="dxa"/>
            </w:tcMar>
            <w:vAlign w:val="center"/>
          </w:tcPr>
          <w:p>
            <w:pPr>
              <w:overflowPunct w:val="0"/>
              <w:contextualSpacing/>
              <w:rPr>
                <w:rFonts w:hint="eastAsia" w:ascii="仿宋_GB2312"/>
                <w:sz w:val="24"/>
                <w:szCs w:val="24"/>
                <w:lang w:val="zh-CN"/>
              </w:rPr>
            </w:pPr>
            <w:r>
              <w:rPr>
                <w:rFonts w:hint="eastAsia" w:ascii="仿宋_GB2312"/>
                <w:sz w:val="24"/>
                <w:szCs w:val="24"/>
                <w:lang w:val="zh-CN"/>
              </w:rPr>
              <w:t>发生同责以上亡人事故1-2人的，每次扣100分；发生同责以上亡人事故3-9人的，每次扣200分，扣完为止。</w:t>
            </w:r>
          </w:p>
        </w:tc>
        <w:tc>
          <w:tcPr>
            <w:tcW w:w="1364" w:type="dxa"/>
            <w:noWrap w:val="0"/>
            <w:tcMar>
              <w:top w:w="0" w:type="dxa"/>
              <w:bottom w:w="0" w:type="dxa"/>
            </w:tcMar>
            <w:vAlign w:val="center"/>
          </w:tcPr>
          <w:p>
            <w:pPr>
              <w:overflowPunct w:val="0"/>
              <w:contextualSpacing/>
              <w:jc w:val="center"/>
              <w:rPr>
                <w:rFonts w:hint="eastAsia" w:ascii="仿宋_GB2312"/>
                <w:sz w:val="24"/>
                <w:szCs w:val="24"/>
                <w:lang w:val="zh-CN"/>
              </w:rPr>
            </w:pPr>
            <w:r>
              <w:rPr>
                <w:rFonts w:hint="eastAsia" w:ascii="仿宋_GB2312"/>
                <w:sz w:val="24"/>
                <w:szCs w:val="24"/>
                <w:lang w:val="zh-CN"/>
              </w:rPr>
              <w:t>公安数据</w:t>
            </w:r>
          </w:p>
          <w:p>
            <w:pPr>
              <w:overflowPunct w:val="0"/>
              <w:contextualSpacing/>
              <w:jc w:val="center"/>
              <w:rPr>
                <w:rFonts w:hint="eastAsia" w:ascii="仿宋_GB2312"/>
                <w:sz w:val="24"/>
                <w:szCs w:val="24"/>
                <w:lang w:val="zh-CN"/>
              </w:rPr>
            </w:pPr>
            <w:r>
              <w:rPr>
                <w:rFonts w:hint="eastAsia" w:ascii="仿宋_GB2312"/>
                <w:sz w:val="24"/>
                <w:szCs w:val="24"/>
                <w:lang w:val="zh-CN"/>
              </w:rPr>
              <w:t>共享与行业</w:t>
            </w:r>
          </w:p>
          <w:p>
            <w:pPr>
              <w:overflowPunct w:val="0"/>
              <w:contextualSpacing/>
              <w:jc w:val="center"/>
              <w:rPr>
                <w:rFonts w:hint="eastAsia" w:ascii="仿宋_GB2312"/>
                <w:sz w:val="24"/>
                <w:szCs w:val="24"/>
                <w:lang w:val="zh-CN"/>
              </w:rPr>
            </w:pPr>
            <w:r>
              <w:rPr>
                <w:rFonts w:hint="eastAsia" w:ascii="仿宋_GB2312"/>
                <w:sz w:val="24"/>
                <w:szCs w:val="24"/>
                <w:lang w:val="zh-CN"/>
              </w:rPr>
              <w:t>内部数据</w:t>
            </w:r>
          </w:p>
          <w:p>
            <w:pPr>
              <w:overflowPunct w:val="0"/>
              <w:contextualSpacing/>
              <w:jc w:val="center"/>
              <w:rPr>
                <w:rFonts w:hint="eastAsia" w:ascii="仿宋_GB2312"/>
                <w:sz w:val="24"/>
                <w:szCs w:val="24"/>
                <w:lang w:val="zh-CN"/>
              </w:rPr>
            </w:pPr>
            <w:r>
              <w:rPr>
                <w:rFonts w:hint="eastAsia" w:ascii="仿宋_GB2312"/>
                <w:sz w:val="24"/>
                <w:szCs w:val="24"/>
                <w:lang w:val="zh-CN"/>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693"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968"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被处以停业整顿情况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2673"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因存在严重安全隐患，被勒令停业整顿的，每发生一次扣100分，扣完为止。</w:t>
            </w:r>
          </w:p>
        </w:tc>
        <w:tc>
          <w:tcPr>
            <w:tcW w:w="1364" w:type="dxa"/>
            <w:noWrap w:val="0"/>
            <w:tcMar>
              <w:top w:w="0" w:type="dxa"/>
              <w:bottom w:w="0" w:type="dxa"/>
            </w:tcMar>
            <w:vAlign w:val="center"/>
          </w:tcPr>
          <w:p>
            <w:pPr>
              <w:overflowPunct w:val="0"/>
              <w:contextualSpacing/>
              <w:jc w:val="center"/>
              <w:rPr>
                <w:rFonts w:hint="eastAsia" w:ascii="仿宋_GB2312"/>
                <w:sz w:val="24"/>
                <w:szCs w:val="24"/>
                <w:lang w:val="zh-CN"/>
              </w:rPr>
            </w:pPr>
            <w:r>
              <w:rPr>
                <w:rFonts w:hint="eastAsia" w:ascii="仿宋_GB2312"/>
                <w:sz w:val="24"/>
                <w:szCs w:val="24"/>
                <w:lang w:val="zh-CN"/>
              </w:rPr>
              <w:t>行业内部</w:t>
            </w:r>
          </w:p>
          <w:p>
            <w:pPr>
              <w:overflowPunct w:val="0"/>
              <w:contextualSpacing/>
              <w:jc w:val="center"/>
              <w:rPr>
                <w:rFonts w:hint="eastAsia" w:ascii="仿宋_GB2312"/>
                <w:sz w:val="24"/>
                <w:szCs w:val="24"/>
                <w:lang w:val="zh-CN"/>
              </w:rPr>
            </w:pPr>
            <w:r>
              <w:rPr>
                <w:rFonts w:hint="eastAsia" w:ascii="仿宋_GB2312"/>
                <w:sz w:val="24"/>
                <w:szCs w:val="24"/>
                <w:lang w:val="zh-CN"/>
              </w:rPr>
              <w:t>数据共享或</w:t>
            </w:r>
          </w:p>
          <w:p>
            <w:pPr>
              <w:overflowPunct w:val="0"/>
              <w:contextualSpacing/>
              <w:jc w:val="center"/>
              <w:rPr>
                <w:rFonts w:hint="eastAsia" w:ascii="仿宋_GB2312"/>
                <w:sz w:val="24"/>
                <w:szCs w:val="24"/>
              </w:rPr>
            </w:pPr>
            <w:r>
              <w:rPr>
                <w:rFonts w:hint="eastAsia" w:ascii="仿宋_GB2312"/>
                <w:sz w:val="24"/>
                <w:szCs w:val="24"/>
                <w:lang w:val="zh-CN"/>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693"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公共信用</w:t>
            </w:r>
          </w:p>
        </w:tc>
        <w:tc>
          <w:tcPr>
            <w:tcW w:w="96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63"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根据省信用办提供的企业公共信用分值按比例进行换算</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省大数据局</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693"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加</w:t>
            </w:r>
          </w:p>
          <w:p>
            <w:pPr>
              <w:overflowPunct w:val="0"/>
              <w:contextualSpacing/>
              <w:jc w:val="center"/>
              <w:rPr>
                <w:rFonts w:hint="eastAsia" w:ascii="仿宋_GB2312"/>
                <w:sz w:val="24"/>
                <w:szCs w:val="24"/>
              </w:rPr>
            </w:pPr>
            <w:r>
              <w:rPr>
                <w:rFonts w:hint="eastAsia" w:ascii="仿宋_GB2312"/>
                <w:sz w:val="24"/>
                <w:szCs w:val="24"/>
              </w:rPr>
              <w:t>分</w:t>
            </w:r>
          </w:p>
          <w:p>
            <w:pPr>
              <w:overflowPunct w:val="0"/>
              <w:contextualSpacing/>
              <w:jc w:val="center"/>
              <w:rPr>
                <w:rFonts w:hint="eastAsia" w:ascii="仿宋_GB2312"/>
                <w:sz w:val="24"/>
                <w:szCs w:val="24"/>
              </w:rPr>
            </w:pPr>
            <w:r>
              <w:rPr>
                <w:rFonts w:hint="eastAsia" w:ascii="仿宋_GB2312"/>
                <w:sz w:val="24"/>
                <w:szCs w:val="24"/>
              </w:rPr>
              <w:t>项</w:t>
            </w:r>
          </w:p>
        </w:tc>
        <w:tc>
          <w:tcPr>
            <w:tcW w:w="968" w:type="dxa"/>
            <w:vMerge w:val="restart"/>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建成安全生产标准化企业情况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30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三级达标企业加10分，二级达标企业加20分，一级达标企业加30分。</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13</w:t>
            </w:r>
          </w:p>
        </w:tc>
        <w:tc>
          <w:tcPr>
            <w:tcW w:w="693"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968"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获得省部级以上荣誉称号情况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673" w:type="dxa"/>
            <w:noWrap w:val="0"/>
            <w:tcMar>
              <w:top w:w="0" w:type="dxa"/>
              <w:bottom w:w="0" w:type="dxa"/>
            </w:tcMar>
            <w:vAlign w:val="center"/>
          </w:tcPr>
          <w:p>
            <w:pPr>
              <w:tabs>
                <w:tab w:val="left" w:pos="633"/>
              </w:tabs>
              <w:overflowPunct w:val="0"/>
              <w:contextualSpacing/>
              <w:rPr>
                <w:rFonts w:hint="eastAsia" w:ascii="仿宋_GB2312"/>
                <w:sz w:val="24"/>
                <w:szCs w:val="24"/>
              </w:rPr>
            </w:pPr>
            <w:r>
              <w:rPr>
                <w:rFonts w:hint="eastAsia" w:ascii="仿宋_GB2312"/>
                <w:sz w:val="24"/>
                <w:szCs w:val="24"/>
              </w:rPr>
              <w:t>获得国家部委、省级党政机关以上单位（不含下设机构）授予的在评优创先、安全生产、文明服务、精神文明建设方面的集体荣誉称号的，加20分。</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56"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14</w:t>
            </w:r>
          </w:p>
        </w:tc>
        <w:tc>
          <w:tcPr>
            <w:tcW w:w="693"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968" w:type="dxa"/>
            <w:vMerge w:val="continue"/>
            <w:noWrap w:val="0"/>
            <w:tcMar>
              <w:top w:w="0" w:type="dxa"/>
              <w:bottom w:w="0" w:type="dxa"/>
            </w:tcMar>
            <w:vAlign w:val="center"/>
          </w:tcPr>
          <w:p>
            <w:pPr>
              <w:overflowPunct w:val="0"/>
              <w:contextualSpacing/>
              <w:jc w:val="center"/>
              <w:rPr>
                <w:rFonts w:hint="eastAsia" w:ascii="仿宋_GB2312"/>
                <w:sz w:val="24"/>
                <w:szCs w:val="24"/>
              </w:rPr>
            </w:pPr>
          </w:p>
        </w:tc>
        <w:tc>
          <w:tcPr>
            <w:tcW w:w="146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1028"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673" w:type="dxa"/>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lang w:val="zh-CN"/>
              </w:rPr>
              <w:t>配合处置突发事件、参与应急抢险、自然灾害救援的，1次加10分；企业驾驶员</w:t>
            </w:r>
            <w:r>
              <w:rPr>
                <w:rFonts w:hint="eastAsia" w:ascii="仿宋_GB2312"/>
                <w:sz w:val="24"/>
                <w:szCs w:val="24"/>
              </w:rPr>
              <w:t>有见义勇为、救死扶伤、拾金不昧等事迹的，每1起加5分，加满为止。</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81" w:type="dxa"/>
            <w:gridSpan w:val="6"/>
            <w:noWrap w:val="0"/>
            <w:tcMar>
              <w:top w:w="0" w:type="dxa"/>
              <w:bottom w:w="0" w:type="dxa"/>
            </w:tcMar>
            <w:vAlign w:val="center"/>
          </w:tcPr>
          <w:p>
            <w:pPr>
              <w:overflowPunct w:val="0"/>
              <w:contextualSpacing/>
              <w:rPr>
                <w:rFonts w:hint="eastAsia" w:ascii="仿宋_GB2312"/>
                <w:sz w:val="24"/>
                <w:szCs w:val="24"/>
              </w:rPr>
            </w:pPr>
            <w:r>
              <w:rPr>
                <w:rFonts w:hint="eastAsia" w:ascii="仿宋_GB2312"/>
                <w:sz w:val="24"/>
                <w:szCs w:val="24"/>
              </w:rPr>
              <w:t>凡发生以下行为之一的，本年度信用分直接扣500分：</w:t>
            </w:r>
          </w:p>
          <w:p>
            <w:pPr>
              <w:overflowPunct w:val="0"/>
              <w:contextualSpacing/>
              <w:rPr>
                <w:rFonts w:hint="eastAsia" w:ascii="仿宋_GB2312"/>
                <w:sz w:val="24"/>
                <w:szCs w:val="24"/>
              </w:rPr>
            </w:pPr>
            <w:r>
              <w:rPr>
                <w:rFonts w:hint="eastAsia" w:ascii="仿宋_GB2312"/>
                <w:sz w:val="24"/>
                <w:szCs w:val="24"/>
              </w:rPr>
              <w:t>（一）道路运输企业因违反道路运输相关法律法规被吊销道路运输经营许可的；</w:t>
            </w:r>
          </w:p>
          <w:p>
            <w:pPr>
              <w:overflowPunct w:val="0"/>
              <w:contextualSpacing/>
              <w:rPr>
                <w:rFonts w:hint="eastAsia" w:ascii="仿宋_GB2312"/>
                <w:sz w:val="24"/>
                <w:szCs w:val="24"/>
              </w:rPr>
            </w:pPr>
            <w:r>
              <w:rPr>
                <w:rFonts w:hint="eastAsia" w:ascii="仿宋_GB2312"/>
                <w:sz w:val="24"/>
                <w:szCs w:val="24"/>
              </w:rPr>
              <w:t>（二）故意瞒报同责以上</w:t>
            </w:r>
            <w:r>
              <w:rPr>
                <w:rFonts w:hint="eastAsia" w:ascii="仿宋_GB2312"/>
                <w:sz w:val="24"/>
                <w:szCs w:val="24"/>
                <w:lang w:bidi="ar"/>
              </w:rPr>
              <w:t>行车</w:t>
            </w:r>
            <w:r>
              <w:rPr>
                <w:rFonts w:hint="eastAsia" w:ascii="仿宋_GB2312"/>
                <w:sz w:val="24"/>
                <w:szCs w:val="24"/>
              </w:rPr>
              <w:t>亡人事故的；</w:t>
            </w:r>
          </w:p>
          <w:p>
            <w:pPr>
              <w:overflowPunct w:val="0"/>
              <w:contextualSpacing/>
              <w:rPr>
                <w:rFonts w:hint="eastAsia" w:ascii="仿宋_GB2312"/>
                <w:sz w:val="24"/>
                <w:szCs w:val="24"/>
              </w:rPr>
            </w:pPr>
            <w:r>
              <w:rPr>
                <w:rFonts w:hint="eastAsia" w:ascii="仿宋_GB2312"/>
                <w:sz w:val="24"/>
                <w:szCs w:val="24"/>
              </w:rPr>
              <w:t>（三）组织煽动从业人员进行上访、罢工、闹事，引发群体性事件造成恶劣影响的。</w:t>
            </w:r>
          </w:p>
          <w:p>
            <w:pPr>
              <w:overflowPunct w:val="0"/>
              <w:contextualSpacing/>
              <w:rPr>
                <w:rFonts w:hint="eastAsia" w:ascii="仿宋_GB2312"/>
                <w:sz w:val="24"/>
                <w:szCs w:val="24"/>
              </w:rPr>
            </w:pPr>
            <w:r>
              <w:rPr>
                <w:rFonts w:hint="eastAsia" w:ascii="仿宋_GB2312"/>
                <w:sz w:val="24"/>
                <w:szCs w:val="24"/>
                <w:lang w:val="zh-CN"/>
              </w:rPr>
              <w:t>凡发生《浙江省道路运输企业信用管理实施细则》第十二条行为之一的，本年度信用分直接扣500分。</w:t>
            </w:r>
          </w:p>
        </w:tc>
        <w:tc>
          <w:tcPr>
            <w:tcW w:w="1364" w:type="dxa"/>
            <w:noWrap w:val="0"/>
            <w:tcMar>
              <w:top w:w="0" w:type="dxa"/>
              <w:bottom w:w="0"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bl>
    <w:p>
      <w:pPr>
        <w:overflowPunct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一、按照企业排序进行扣分的具体规则，按照此指标下的企业从低到高进行排名，不同排名扣除不同分值的方式</w:t>
      </w:r>
    </w:p>
    <w:p>
      <w:pPr>
        <w:overflowPunct w:val="0"/>
        <w:spacing w:line="360" w:lineRule="exact"/>
        <w:ind w:firstLine="480" w:firstLineChars="200"/>
        <w:rPr>
          <w:rFonts w:hint="eastAsia" w:ascii="仿宋_GB2312"/>
          <w:sz w:val="24"/>
          <w:szCs w:val="28"/>
        </w:rPr>
      </w:pPr>
      <w:r>
        <w:rPr>
          <w:rFonts w:hint="eastAsia" w:ascii="仿宋_GB2312"/>
          <w:sz w:val="24"/>
          <w:szCs w:val="28"/>
        </w:rPr>
        <w:t>1. 首先将企业按照指标数据从小到大排序；</w:t>
      </w:r>
    </w:p>
    <w:p>
      <w:pPr>
        <w:overflowPunct w:val="0"/>
        <w:spacing w:line="360" w:lineRule="exact"/>
        <w:ind w:firstLine="480" w:firstLineChars="200"/>
        <w:rPr>
          <w:rFonts w:hint="eastAsia" w:ascii="仿宋_GB2312"/>
          <w:b/>
          <w:sz w:val="24"/>
          <w:szCs w:val="28"/>
        </w:rPr>
      </w:pPr>
      <w:r>
        <w:rPr>
          <w:rFonts w:hint="eastAsia" w:ascii="仿宋_GB2312"/>
          <w:sz w:val="24"/>
          <w:szCs w:val="28"/>
        </w:rPr>
        <w:t>2. 按照排序好的企业，计算该企业在总体企业中的位置，例如处于前20%的位置，就扣除该指标分值*0.2的分数（二级指标为10分，扣除分数为10*0.2=2分）。</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二、对交通运输行政处罚率、非现场超限未处罚率、被公安机关交通管理部门行政处罚情况的解释说明</w:t>
      </w:r>
    </w:p>
    <w:p>
      <w:pPr>
        <w:overflowPunct w:val="0"/>
        <w:spacing w:line="360" w:lineRule="exact"/>
        <w:ind w:firstLine="480" w:firstLineChars="200"/>
        <w:rPr>
          <w:rFonts w:hint="eastAsia" w:ascii="仿宋_GB2312"/>
          <w:sz w:val="24"/>
          <w:szCs w:val="28"/>
        </w:rPr>
      </w:pPr>
      <w:r>
        <w:rPr>
          <w:rFonts w:hint="eastAsia" w:ascii="仿宋_GB2312"/>
          <w:sz w:val="24"/>
          <w:szCs w:val="28"/>
        </w:rPr>
        <w:t>交通运输行政处罚率：评价周期内企业所属营运车辆被交通运输部门处罚数/该企业当前营运车辆总数；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非现场超限未处罚率：评价周期内企业被抓拍的非现场超限未处罚数/该企业当前营运车辆总数；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被公安机关交通管理部门行政处罚情况：评价周期内企业所属营运车辆被公安机关交通管理部门行政处罚数/该企业当前营运车辆总数。</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三、关于手工录入部分省、市、县分工说明</w:t>
      </w:r>
    </w:p>
    <w:p>
      <w:pPr>
        <w:overflowPunct w:val="0"/>
        <w:spacing w:line="36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除被媒体曝光负面事件由市级交通运输部门负责外，其他手工录入数据按照信息来源，由省、市、县分别录入。具体说明如下：</w:t>
      </w:r>
    </w:p>
    <w:p>
      <w:pPr>
        <w:overflowPunct w:val="0"/>
        <w:spacing w:line="360" w:lineRule="exact"/>
        <w:ind w:firstLine="480" w:firstLineChars="200"/>
        <w:rPr>
          <w:rFonts w:hint="eastAsia" w:ascii="仿宋_GB2312"/>
          <w:sz w:val="24"/>
          <w:szCs w:val="28"/>
        </w:rPr>
      </w:pPr>
      <w:r>
        <w:rPr>
          <w:rFonts w:hint="eastAsia" w:ascii="仿宋_GB2312"/>
          <w:sz w:val="24"/>
          <w:szCs w:val="28"/>
        </w:rPr>
        <w:t>1.被省级列入省级重点安全监管企业、获得省部级以上荣誉称号的，由省级相关部门录入；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2.被市级列入重点安全监管企业名单、被12345/12328投诉、被处以停业整顿、发生恶劣群体性事件、红黑名单认定行为的，由市级相关部门录入；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3.被县级12345/12328投诉信息、事故相关信息、企业安全生产标准化建设达标情况、参与社会公益及应急救援等信息的，由县级相关部门录入。</w:t>
      </w:r>
    </w:p>
    <w:p>
      <w:pPr>
        <w:overflowPunct w:val="0"/>
        <w:spacing w:line="590" w:lineRule="exact"/>
        <w:rPr>
          <w:rFonts w:hAnsi="黑体" w:eastAsia="黑体"/>
          <w:szCs w:val="32"/>
        </w:rPr>
      </w:pPr>
      <w:r>
        <w:rPr>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5</w:t>
      </w:r>
    </w:p>
    <w:p>
      <w:pPr>
        <w:overflowPunct w:val="0"/>
        <w:spacing w:line="590" w:lineRule="exact"/>
        <w:ind w:firstLine="640" w:firstLineChars="200"/>
        <w:rPr>
          <w:szCs w:val="32"/>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道路危险货物运输企业信用评价标准</w:t>
      </w:r>
    </w:p>
    <w:p>
      <w:pPr>
        <w:overflowPunct w:val="0"/>
        <w:spacing w:line="59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95"/>
        <w:gridCol w:w="544"/>
        <w:gridCol w:w="833"/>
        <w:gridCol w:w="1400"/>
        <w:gridCol w:w="868"/>
        <w:gridCol w:w="3247"/>
        <w:gridCol w:w="1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blHeader/>
          <w:jc w:val="center"/>
        </w:trPr>
        <w:tc>
          <w:tcPr>
            <w:tcW w:w="695"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544"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w:t>
            </w:r>
          </w:p>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指标</w:t>
            </w:r>
          </w:p>
        </w:tc>
        <w:tc>
          <w:tcPr>
            <w:tcW w:w="833"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400"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868" w:type="dxa"/>
            <w:noWrap w:val="0"/>
            <w:tcMar>
              <w:top w:w="15" w:type="dxa"/>
              <w:left w:w="15" w:type="dxa"/>
              <w:right w:w="15" w:type="dxa"/>
            </w:tcMar>
            <w:vAlign w:val="center"/>
          </w:tcPr>
          <w:p>
            <w:pPr>
              <w:overflowPunct w:val="0"/>
              <w:contextualSpacing/>
              <w:jc w:val="center"/>
              <w:textAlignment w:val="center"/>
              <w:rPr>
                <w:rFonts w:hint="eastAsia" w:ascii="黑体" w:hAnsi="黑体" w:eastAsia="黑体"/>
                <w:sz w:val="24"/>
                <w:szCs w:val="24"/>
                <w:lang w:bidi="ar"/>
              </w:rPr>
            </w:pPr>
            <w:r>
              <w:rPr>
                <w:rFonts w:ascii="黑体" w:hAnsi="黑体" w:eastAsia="黑体"/>
                <w:sz w:val="24"/>
                <w:szCs w:val="24"/>
                <w:lang w:bidi="ar"/>
              </w:rPr>
              <w:t>二级指</w:t>
            </w:r>
          </w:p>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标分值</w:t>
            </w:r>
          </w:p>
        </w:tc>
        <w:tc>
          <w:tcPr>
            <w:tcW w:w="3247"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258" w:type="dxa"/>
            <w:noWrap w:val="0"/>
            <w:tcMar>
              <w:top w:w="15" w:type="dxa"/>
              <w:left w:w="15" w:type="dxa"/>
              <w:right w:w="15"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94"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w:t>
            </w:r>
          </w:p>
        </w:tc>
        <w:tc>
          <w:tcPr>
            <w:tcW w:w="544"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经营信用</w:t>
            </w:r>
          </w:p>
        </w:tc>
        <w:tc>
          <w:tcPr>
            <w:tcW w:w="833" w:type="dxa"/>
            <w:noWrap w:val="0"/>
            <w:tcMar>
              <w:top w:w="17"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lang w:bidi="ar"/>
              </w:rPr>
              <w:t>50</w:t>
            </w:r>
          </w:p>
        </w:tc>
        <w:tc>
          <w:tcPr>
            <w:tcW w:w="1400" w:type="dxa"/>
            <w:noWrap w:val="0"/>
            <w:tcMar>
              <w:top w:w="17"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rPr>
              <w:t>信用承诺履行情况</w:t>
            </w:r>
          </w:p>
        </w:tc>
        <w:tc>
          <w:tcPr>
            <w:tcW w:w="868" w:type="dxa"/>
            <w:noWrap w:val="0"/>
            <w:tcMar>
              <w:top w:w="17" w:type="dxa"/>
              <w:left w:w="15" w:type="dxa"/>
              <w:bottom w:w="17" w:type="dxa"/>
              <w:right w:w="15" w:type="dxa"/>
            </w:tcMar>
            <w:vAlign w:val="center"/>
          </w:tcPr>
          <w:p>
            <w:pPr>
              <w:overflowPunct w:val="0"/>
              <w:contextualSpacing/>
              <w:jc w:val="center"/>
              <w:textAlignment w:val="center"/>
              <w:rPr>
                <w:rFonts w:hint="eastAsia" w:ascii="仿宋_GB2312"/>
                <w:sz w:val="24"/>
                <w:szCs w:val="24"/>
              </w:rPr>
            </w:pPr>
            <w:r>
              <w:rPr>
                <w:rFonts w:hint="eastAsia" w:ascii="仿宋_GB2312"/>
                <w:sz w:val="24"/>
                <w:szCs w:val="24"/>
              </w:rPr>
              <w:t>50</w:t>
            </w:r>
          </w:p>
        </w:tc>
        <w:tc>
          <w:tcPr>
            <w:tcW w:w="3247" w:type="dxa"/>
            <w:noWrap w:val="0"/>
            <w:tcMar>
              <w:top w:w="17" w:type="dxa"/>
              <w:left w:w="15" w:type="dxa"/>
              <w:bottom w:w="17" w:type="dxa"/>
              <w:right w:w="15" w:type="dxa"/>
            </w:tcMar>
            <w:vAlign w:val="center"/>
          </w:tcPr>
          <w:p>
            <w:pPr>
              <w:overflowPunct w:val="0"/>
              <w:contextualSpacing/>
              <w:textAlignment w:val="center"/>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2</w:t>
            </w:r>
          </w:p>
        </w:tc>
        <w:tc>
          <w:tcPr>
            <w:tcW w:w="544" w:type="dxa"/>
            <w:vMerge w:val="restart"/>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市场信用</w:t>
            </w:r>
          </w:p>
        </w:tc>
        <w:tc>
          <w:tcPr>
            <w:tcW w:w="833" w:type="dxa"/>
            <w:vMerge w:val="restart"/>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300</w:t>
            </w:r>
          </w:p>
        </w:tc>
        <w:tc>
          <w:tcPr>
            <w:tcW w:w="1400" w:type="dxa"/>
            <w:noWrap w:val="0"/>
            <w:tcMar>
              <w:top w:w="17" w:type="dxa"/>
              <w:left w:w="15" w:type="dxa"/>
              <w:bottom w:w="17"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lang w:bidi="ar"/>
              </w:rPr>
              <w:t>经营行为异常率</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100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100*（1-评价周期内企业异常数/</w:t>
            </w:r>
            <w:r>
              <w:rPr>
                <w:rFonts w:hint="eastAsia" w:ascii="仿宋_GB2312"/>
                <w:sz w:val="24"/>
                <w:szCs w:val="24"/>
              </w:rPr>
              <w:t>该企业当前营运车辆总数</w:t>
            </w:r>
            <w:r>
              <w:rPr>
                <w:rFonts w:hint="eastAsia" w:ascii="仿宋_GB2312"/>
                <w:sz w:val="24"/>
                <w:szCs w:val="24"/>
                <w:lang w:bidi="ar"/>
              </w:rPr>
              <w:t>）。</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03"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3</w:t>
            </w:r>
          </w:p>
        </w:tc>
        <w:tc>
          <w:tcPr>
            <w:tcW w:w="544"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17" w:type="dxa"/>
              <w:left w:w="15" w:type="dxa"/>
              <w:bottom w:w="17"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rPr>
              <w:t>被交通运输部门行政处罚情况</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200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200*（1-</w:t>
            </w:r>
            <w:r>
              <w:rPr>
                <w:rFonts w:hint="eastAsia" w:ascii="仿宋_GB2312"/>
                <w:sz w:val="24"/>
                <w:szCs w:val="24"/>
              </w:rPr>
              <w:t>评价周期内企业所属营运车辆被交通运输部门处罚数/该企业当前营运车辆总数</w:t>
            </w:r>
            <w:r>
              <w:rPr>
                <w:rFonts w:hint="eastAsia" w:ascii="仿宋_GB2312"/>
                <w:sz w:val="24"/>
                <w:szCs w:val="24"/>
                <w:lang w:bidi="ar"/>
              </w:rPr>
              <w:t>）。</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33"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4</w:t>
            </w:r>
          </w:p>
        </w:tc>
        <w:tc>
          <w:tcPr>
            <w:tcW w:w="544"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服务信用</w:t>
            </w:r>
          </w:p>
        </w:tc>
        <w:tc>
          <w:tcPr>
            <w:tcW w:w="833"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150</w:t>
            </w:r>
          </w:p>
        </w:tc>
        <w:tc>
          <w:tcPr>
            <w:tcW w:w="1400" w:type="dxa"/>
            <w:noWrap w:val="0"/>
            <w:tcMar>
              <w:top w:w="17" w:type="dxa"/>
              <w:left w:w="15" w:type="dxa"/>
              <w:bottom w:w="17"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lang w:bidi="ar"/>
              </w:rPr>
              <w:t>从业人员蓝码率</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150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150*（评价周期内企业所属危货从业人员蓝码数/该企业危货从业人员总数）。</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38"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5</w:t>
            </w:r>
          </w:p>
        </w:tc>
        <w:tc>
          <w:tcPr>
            <w:tcW w:w="544" w:type="dxa"/>
            <w:vMerge w:val="restart"/>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安全信用</w:t>
            </w:r>
          </w:p>
        </w:tc>
        <w:tc>
          <w:tcPr>
            <w:tcW w:w="833" w:type="dxa"/>
            <w:vMerge w:val="restart"/>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400</w:t>
            </w:r>
          </w:p>
        </w:tc>
        <w:tc>
          <w:tcPr>
            <w:tcW w:w="1400" w:type="dxa"/>
            <w:noWrap w:val="0"/>
            <w:tcMar>
              <w:top w:w="17" w:type="dxa"/>
              <w:left w:w="15" w:type="dxa"/>
              <w:bottom w:w="17"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lang w:bidi="ar"/>
              </w:rPr>
              <w:t>安全管理人员配备</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100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达到每25辆车（不含挂车）配1名的，得80分；达不到的，不得分；每增加1人，得10分。</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6</w:t>
            </w:r>
          </w:p>
        </w:tc>
        <w:tc>
          <w:tcPr>
            <w:tcW w:w="544"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17" w:type="dxa"/>
              <w:left w:w="15" w:type="dxa"/>
              <w:bottom w:w="17"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lang w:bidi="ar"/>
              </w:rPr>
              <w:t>企业安全生产标准化达标情况</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50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一级得50分；二级得30分；三级得20分。</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93"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7</w:t>
            </w:r>
          </w:p>
        </w:tc>
        <w:tc>
          <w:tcPr>
            <w:tcW w:w="544"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17" w:type="dxa"/>
              <w:left w:w="15" w:type="dxa"/>
              <w:bottom w:w="17" w:type="dxa"/>
              <w:right w:w="15" w:type="dxa"/>
            </w:tcMar>
            <w:vAlign w:val="center"/>
          </w:tcPr>
          <w:p>
            <w:pPr>
              <w:tabs>
                <w:tab w:val="left" w:pos="1495"/>
                <w:tab w:val="left" w:pos="1588"/>
                <w:tab w:val="left" w:pos="1687"/>
              </w:tabs>
              <w:overflowPunct w:val="0"/>
              <w:contextualSpacing/>
              <w:rPr>
                <w:rFonts w:hint="eastAsia" w:ascii="仿宋_GB2312"/>
                <w:sz w:val="24"/>
                <w:szCs w:val="24"/>
                <w:lang w:bidi="ar"/>
              </w:rPr>
            </w:pPr>
            <w:r>
              <w:rPr>
                <w:rFonts w:hint="eastAsia" w:ascii="仿宋_GB2312"/>
                <w:sz w:val="24"/>
                <w:szCs w:val="24"/>
              </w:rPr>
              <w:t>被公安机关交通管理部门行政处罚情况</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50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50*（1-</w:t>
            </w:r>
            <w:r>
              <w:rPr>
                <w:rFonts w:hint="eastAsia" w:ascii="仿宋_GB2312"/>
                <w:sz w:val="24"/>
                <w:szCs w:val="24"/>
              </w:rPr>
              <w:t>评价周期内企业所属营运车辆被公安机关交通管理部门行政处罚数/该企业当前营运车辆总数</w:t>
            </w:r>
            <w:r>
              <w:rPr>
                <w:rFonts w:hint="eastAsia" w:ascii="仿宋_GB2312"/>
                <w:sz w:val="24"/>
                <w:szCs w:val="24"/>
                <w:lang w:bidi="ar"/>
              </w:rPr>
              <w:t>）。</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公安厅</w:t>
            </w:r>
          </w:p>
          <w:p>
            <w:pPr>
              <w:overflowPunct w:val="0"/>
              <w:contextualSpacing/>
              <w:jc w:val="center"/>
              <w:rPr>
                <w:rFonts w:hint="eastAsia" w:ascii="仿宋_GB2312"/>
                <w:sz w:val="24"/>
                <w:szCs w:val="24"/>
                <w:lang w:bidi="ar"/>
              </w:rPr>
            </w:pPr>
            <w:r>
              <w:rPr>
                <w:rFonts w:hint="eastAsia" w:ascii="仿宋_GB2312"/>
                <w:sz w:val="24"/>
                <w:szCs w:val="24"/>
                <w:lang w:bidi="ar"/>
              </w:rPr>
              <w:t>交管局</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27"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8</w:t>
            </w:r>
          </w:p>
        </w:tc>
        <w:tc>
          <w:tcPr>
            <w:tcW w:w="544"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17" w:type="dxa"/>
              <w:left w:w="15" w:type="dxa"/>
              <w:bottom w:w="17"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rPr>
              <w:t>被列入重点安全监管企业名单情况</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rPr>
              <w:t>100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val="zh-CN"/>
              </w:rPr>
              <w:t>被省级管理部门列入重点安全监管企业名单的，扣100分；被市级管理部门列入重点安全监管企业名单的，扣50分。</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rPr>
              <w:t>9</w:t>
            </w:r>
          </w:p>
        </w:tc>
        <w:tc>
          <w:tcPr>
            <w:tcW w:w="544"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17" w:type="dxa"/>
              <w:left w:w="15" w:type="dxa"/>
              <w:bottom w:w="17"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lang w:bidi="ar"/>
              </w:rPr>
              <w:t>发生行车事故情况</w:t>
            </w:r>
          </w:p>
        </w:tc>
        <w:tc>
          <w:tcPr>
            <w:tcW w:w="86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100</w:t>
            </w:r>
          </w:p>
        </w:tc>
        <w:tc>
          <w:tcPr>
            <w:tcW w:w="3247" w:type="dxa"/>
            <w:noWrap w:val="0"/>
            <w:tcMar>
              <w:top w:w="17" w:type="dxa"/>
              <w:left w:w="15" w:type="dxa"/>
              <w:bottom w:w="17"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发生亡人事故但责任未确定或负次责的，每死亡1人扣20分；发生事故未造成人员死亡但引起社会较大关注的，每起扣20分，扣完为止。发生事故后瞒报信息的（超过7天未上报，视作瞒报），100分扣完。</w:t>
            </w:r>
          </w:p>
        </w:tc>
        <w:tc>
          <w:tcPr>
            <w:tcW w:w="1258" w:type="dxa"/>
            <w:noWrap w:val="0"/>
            <w:tcMar>
              <w:top w:w="17" w:type="dxa"/>
              <w:left w:w="15" w:type="dxa"/>
              <w:bottom w:w="17"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公安数据</w:t>
            </w:r>
          </w:p>
          <w:p>
            <w:pPr>
              <w:overflowPunct w:val="0"/>
              <w:contextualSpacing/>
              <w:jc w:val="center"/>
              <w:rPr>
                <w:rFonts w:hint="eastAsia" w:ascii="仿宋_GB2312"/>
                <w:sz w:val="24"/>
                <w:szCs w:val="24"/>
                <w:lang w:bidi="ar"/>
              </w:rPr>
            </w:pPr>
            <w:r>
              <w:rPr>
                <w:rFonts w:hint="eastAsia" w:ascii="仿宋_GB2312"/>
                <w:sz w:val="24"/>
                <w:szCs w:val="24"/>
                <w:lang w:bidi="ar"/>
              </w:rPr>
              <w:t>共享与行业内部数据</w:t>
            </w:r>
          </w:p>
          <w:p>
            <w:pPr>
              <w:overflowPunct w:val="0"/>
              <w:contextualSpacing/>
              <w:jc w:val="center"/>
              <w:rPr>
                <w:rFonts w:hint="eastAsia" w:ascii="仿宋_GB2312"/>
                <w:sz w:val="24"/>
                <w:szCs w:val="24"/>
                <w:lang w:bidi="ar"/>
              </w:rPr>
            </w:pPr>
            <w:r>
              <w:rPr>
                <w:rFonts w:hint="eastAsia" w:ascii="仿宋_GB2312"/>
                <w:sz w:val="24"/>
                <w:szCs w:val="24"/>
                <w:lang w:bidi="ar"/>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10</w:t>
            </w:r>
          </w:p>
        </w:tc>
        <w:tc>
          <w:tcPr>
            <w:tcW w:w="544" w:type="dxa"/>
            <w:vMerge w:val="restart"/>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安全信用</w:t>
            </w:r>
          </w:p>
        </w:tc>
        <w:tc>
          <w:tcPr>
            <w:tcW w:w="833" w:type="dxa"/>
            <w:vMerge w:val="restart"/>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400</w:t>
            </w:r>
          </w:p>
        </w:tc>
        <w:tc>
          <w:tcPr>
            <w:tcW w:w="1400" w:type="dxa"/>
            <w:noWrap w:val="0"/>
            <w:tcMar>
              <w:top w:w="28" w:type="dxa"/>
              <w:left w:w="15" w:type="dxa"/>
              <w:bottom w:w="28"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rPr>
              <w:t>发生行业</w:t>
            </w:r>
            <w:r>
              <w:rPr>
                <w:rFonts w:hint="eastAsia" w:ascii="仿宋_GB2312"/>
                <w:sz w:val="24"/>
                <w:szCs w:val="24"/>
                <w:lang w:val="zh-CN"/>
              </w:rPr>
              <w:t>同责以上亡人事故情况</w:t>
            </w:r>
          </w:p>
        </w:tc>
        <w:tc>
          <w:tcPr>
            <w:tcW w:w="86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400</w:t>
            </w:r>
          </w:p>
        </w:tc>
        <w:tc>
          <w:tcPr>
            <w:tcW w:w="3247" w:type="dxa"/>
            <w:noWrap w:val="0"/>
            <w:tcMar>
              <w:top w:w="28" w:type="dxa"/>
              <w:left w:w="15" w:type="dxa"/>
              <w:bottom w:w="28"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发生同责以上亡人事故1-2人的，每次扣100分；发生同责以上亡人事故3-9人的，每次扣200分，扣完为止。</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公安数据</w:t>
            </w:r>
          </w:p>
          <w:p>
            <w:pPr>
              <w:overflowPunct w:val="0"/>
              <w:contextualSpacing/>
              <w:jc w:val="center"/>
              <w:rPr>
                <w:rFonts w:hint="eastAsia" w:ascii="仿宋_GB2312"/>
                <w:sz w:val="24"/>
                <w:szCs w:val="24"/>
                <w:lang w:bidi="ar"/>
              </w:rPr>
            </w:pPr>
            <w:r>
              <w:rPr>
                <w:rFonts w:hint="eastAsia" w:ascii="仿宋_GB2312"/>
                <w:sz w:val="24"/>
                <w:szCs w:val="24"/>
                <w:lang w:bidi="ar"/>
              </w:rPr>
              <w:t>共享与行业内部数据</w:t>
            </w:r>
          </w:p>
          <w:p>
            <w:pPr>
              <w:overflowPunct w:val="0"/>
              <w:contextualSpacing/>
              <w:jc w:val="center"/>
              <w:rPr>
                <w:rFonts w:hint="eastAsia" w:ascii="仿宋_GB2312"/>
                <w:sz w:val="24"/>
                <w:szCs w:val="24"/>
                <w:lang w:bidi="ar"/>
              </w:rPr>
            </w:pPr>
            <w:r>
              <w:rPr>
                <w:rFonts w:hint="eastAsia" w:ascii="仿宋_GB2312"/>
                <w:sz w:val="24"/>
                <w:szCs w:val="24"/>
                <w:lang w:bidi="ar"/>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11</w:t>
            </w:r>
          </w:p>
        </w:tc>
        <w:tc>
          <w:tcPr>
            <w:tcW w:w="544"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28" w:type="dxa"/>
              <w:left w:w="15" w:type="dxa"/>
              <w:bottom w:w="28"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rPr>
              <w:t>被处以停业整顿情况</w:t>
            </w:r>
          </w:p>
        </w:tc>
        <w:tc>
          <w:tcPr>
            <w:tcW w:w="86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rPr>
              <w:t>400</w:t>
            </w:r>
          </w:p>
        </w:tc>
        <w:tc>
          <w:tcPr>
            <w:tcW w:w="3247" w:type="dxa"/>
            <w:noWrap w:val="0"/>
            <w:tcMar>
              <w:top w:w="28" w:type="dxa"/>
              <w:left w:w="15" w:type="dxa"/>
              <w:bottom w:w="28"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rPr>
              <w:t>因存在安全隐患，被勒令停业整顿的，每发生一次扣100分，扣完为止。</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val="zh-CN"/>
              </w:rPr>
            </w:pPr>
            <w:r>
              <w:rPr>
                <w:rFonts w:hint="eastAsia" w:ascii="仿宋_GB2312"/>
                <w:sz w:val="24"/>
                <w:szCs w:val="24"/>
                <w:lang w:val="zh-CN"/>
              </w:rPr>
              <w:t>行业内部</w:t>
            </w:r>
          </w:p>
          <w:p>
            <w:pPr>
              <w:overflowPunct w:val="0"/>
              <w:contextualSpacing/>
              <w:jc w:val="center"/>
              <w:rPr>
                <w:rFonts w:hint="eastAsia" w:ascii="仿宋_GB2312"/>
                <w:sz w:val="24"/>
                <w:szCs w:val="24"/>
                <w:lang w:bidi="ar"/>
              </w:rPr>
            </w:pPr>
            <w:r>
              <w:rPr>
                <w:rFonts w:hint="eastAsia" w:ascii="仿宋_GB2312"/>
                <w:sz w:val="24"/>
                <w:szCs w:val="24"/>
                <w:lang w:val="zh-CN"/>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12</w:t>
            </w:r>
          </w:p>
        </w:tc>
        <w:tc>
          <w:tcPr>
            <w:tcW w:w="544"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公共信用</w:t>
            </w:r>
          </w:p>
        </w:tc>
        <w:tc>
          <w:tcPr>
            <w:tcW w:w="833"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100</w:t>
            </w:r>
          </w:p>
        </w:tc>
        <w:tc>
          <w:tcPr>
            <w:tcW w:w="1400" w:type="dxa"/>
            <w:noWrap w:val="0"/>
            <w:tcMar>
              <w:top w:w="28" w:type="dxa"/>
              <w:left w:w="15" w:type="dxa"/>
              <w:bottom w:w="28" w:type="dxa"/>
              <w:right w:w="15" w:type="dxa"/>
            </w:tcMar>
            <w:vAlign w:val="center"/>
          </w:tcPr>
          <w:p>
            <w:pPr>
              <w:tabs>
                <w:tab w:val="left" w:pos="1495"/>
                <w:tab w:val="left" w:pos="1687"/>
              </w:tabs>
              <w:overflowPunct w:val="0"/>
              <w:contextualSpacing/>
              <w:jc w:val="center"/>
              <w:rPr>
                <w:rFonts w:hint="eastAsia" w:ascii="仿宋_GB2312"/>
                <w:sz w:val="24"/>
                <w:szCs w:val="24"/>
                <w:lang w:bidi="ar"/>
              </w:rPr>
            </w:pPr>
            <w:r>
              <w:rPr>
                <w:rFonts w:hint="eastAsia" w:ascii="仿宋_GB2312"/>
                <w:sz w:val="24"/>
                <w:szCs w:val="24"/>
                <w:lang w:bidi="ar"/>
              </w:rPr>
              <w:t>/</w:t>
            </w:r>
          </w:p>
        </w:tc>
        <w:tc>
          <w:tcPr>
            <w:tcW w:w="86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w:t>
            </w:r>
          </w:p>
        </w:tc>
        <w:tc>
          <w:tcPr>
            <w:tcW w:w="3247" w:type="dxa"/>
            <w:noWrap w:val="0"/>
            <w:tcMar>
              <w:top w:w="28" w:type="dxa"/>
              <w:left w:w="15" w:type="dxa"/>
              <w:bottom w:w="28"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根据省信用办提供的企业公共信用分值按比例进行换算。</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省大数据局数据共享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13</w:t>
            </w:r>
          </w:p>
        </w:tc>
        <w:tc>
          <w:tcPr>
            <w:tcW w:w="544" w:type="dxa"/>
            <w:vMerge w:val="restart"/>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加分项</w:t>
            </w:r>
          </w:p>
        </w:tc>
        <w:tc>
          <w:tcPr>
            <w:tcW w:w="833" w:type="dxa"/>
            <w:vMerge w:val="restart"/>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100</w:t>
            </w:r>
          </w:p>
        </w:tc>
        <w:tc>
          <w:tcPr>
            <w:tcW w:w="1400" w:type="dxa"/>
            <w:noWrap w:val="0"/>
            <w:tcMar>
              <w:top w:w="28" w:type="dxa"/>
              <w:left w:w="15" w:type="dxa"/>
              <w:bottom w:w="28"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lang w:bidi="ar"/>
              </w:rPr>
              <w:t>自有停车场面积情况</w:t>
            </w:r>
          </w:p>
        </w:tc>
        <w:tc>
          <w:tcPr>
            <w:tcW w:w="86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20</w:t>
            </w:r>
          </w:p>
        </w:tc>
        <w:tc>
          <w:tcPr>
            <w:tcW w:w="3247" w:type="dxa"/>
            <w:noWrap w:val="0"/>
            <w:tcMar>
              <w:top w:w="28" w:type="dxa"/>
              <w:left w:w="15" w:type="dxa"/>
              <w:bottom w:w="28"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自有停车场面积达50%（含）以上的，加20分。</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14</w:t>
            </w:r>
          </w:p>
        </w:tc>
        <w:tc>
          <w:tcPr>
            <w:tcW w:w="544"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28" w:type="dxa"/>
              <w:left w:w="15" w:type="dxa"/>
              <w:bottom w:w="28" w:type="dxa"/>
              <w:right w:w="15" w:type="dxa"/>
            </w:tcMar>
            <w:vAlign w:val="center"/>
          </w:tcPr>
          <w:p>
            <w:pPr>
              <w:tabs>
                <w:tab w:val="left" w:pos="1495"/>
                <w:tab w:val="left" w:pos="1687"/>
              </w:tabs>
              <w:overflowPunct w:val="0"/>
              <w:contextualSpacing/>
              <w:rPr>
                <w:rFonts w:hint="eastAsia" w:ascii="仿宋_GB2312"/>
                <w:spacing w:val="-6"/>
                <w:sz w:val="24"/>
                <w:szCs w:val="24"/>
                <w:lang w:bidi="ar"/>
              </w:rPr>
            </w:pPr>
            <w:r>
              <w:rPr>
                <w:rFonts w:hint="eastAsia" w:ascii="仿宋_GB2312"/>
                <w:spacing w:val="-6"/>
                <w:sz w:val="24"/>
                <w:szCs w:val="24"/>
                <w:lang w:bidi="ar"/>
              </w:rPr>
              <w:t>配备注册安全工程师情况</w:t>
            </w:r>
          </w:p>
        </w:tc>
        <w:tc>
          <w:tcPr>
            <w:tcW w:w="86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20</w:t>
            </w:r>
          </w:p>
        </w:tc>
        <w:tc>
          <w:tcPr>
            <w:tcW w:w="3247" w:type="dxa"/>
            <w:noWrap w:val="0"/>
            <w:tcMar>
              <w:top w:w="28" w:type="dxa"/>
              <w:left w:w="15" w:type="dxa"/>
              <w:bottom w:w="28"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配备中级及以上注册安全工程师的，加20分。</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15</w:t>
            </w:r>
          </w:p>
        </w:tc>
        <w:tc>
          <w:tcPr>
            <w:tcW w:w="544"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28" w:type="dxa"/>
              <w:left w:w="15" w:type="dxa"/>
              <w:bottom w:w="28" w:type="dxa"/>
              <w:right w:w="15" w:type="dxa"/>
            </w:tcMar>
            <w:vAlign w:val="center"/>
          </w:tcPr>
          <w:p>
            <w:pPr>
              <w:tabs>
                <w:tab w:val="left" w:pos="1495"/>
                <w:tab w:val="left" w:pos="1687"/>
              </w:tabs>
              <w:overflowPunct w:val="0"/>
              <w:contextualSpacing/>
              <w:rPr>
                <w:rFonts w:hint="eastAsia" w:ascii="仿宋_GB2312"/>
                <w:sz w:val="24"/>
                <w:szCs w:val="24"/>
                <w:lang w:bidi="ar"/>
              </w:rPr>
            </w:pPr>
            <w:r>
              <w:rPr>
                <w:rFonts w:hint="eastAsia" w:ascii="仿宋_GB2312"/>
                <w:sz w:val="24"/>
                <w:szCs w:val="24"/>
                <w:lang w:bidi="ar"/>
              </w:rPr>
              <w:t>委托第三方安全服务机构出具安评报告及整改情况</w:t>
            </w:r>
          </w:p>
        </w:tc>
        <w:tc>
          <w:tcPr>
            <w:tcW w:w="86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10</w:t>
            </w:r>
          </w:p>
        </w:tc>
        <w:tc>
          <w:tcPr>
            <w:tcW w:w="3247" w:type="dxa"/>
            <w:noWrap w:val="0"/>
            <w:tcMar>
              <w:top w:w="28" w:type="dxa"/>
              <w:left w:w="15" w:type="dxa"/>
              <w:bottom w:w="28"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委托第三方安全服务机构对企业每半年出具安评报告并整改的，加10分。</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5"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16</w:t>
            </w:r>
          </w:p>
        </w:tc>
        <w:tc>
          <w:tcPr>
            <w:tcW w:w="544"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833" w:type="dxa"/>
            <w:vMerge w:val="continue"/>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p>
        </w:tc>
        <w:tc>
          <w:tcPr>
            <w:tcW w:w="1400" w:type="dxa"/>
            <w:noWrap w:val="0"/>
            <w:tcMar>
              <w:top w:w="28" w:type="dxa"/>
              <w:left w:w="15" w:type="dxa"/>
              <w:bottom w:w="28" w:type="dxa"/>
              <w:right w:w="15" w:type="dxa"/>
            </w:tcMar>
            <w:vAlign w:val="center"/>
          </w:tcPr>
          <w:p>
            <w:pPr>
              <w:tabs>
                <w:tab w:val="left" w:pos="1495"/>
                <w:tab w:val="left" w:pos="1687"/>
              </w:tabs>
              <w:overflowPunct w:val="0"/>
              <w:contextualSpacing/>
              <w:rPr>
                <w:rFonts w:hint="eastAsia" w:ascii="仿宋_GB2312"/>
                <w:b/>
                <w:sz w:val="24"/>
                <w:szCs w:val="24"/>
                <w:lang w:bidi="ar"/>
              </w:rPr>
            </w:pPr>
            <w:r>
              <w:rPr>
                <w:rFonts w:hint="eastAsia" w:ascii="仿宋_GB2312"/>
                <w:sz w:val="24"/>
                <w:szCs w:val="24"/>
                <w:lang w:bidi="ar"/>
              </w:rPr>
              <w:t>企业驾驶员安全码情况</w:t>
            </w:r>
          </w:p>
        </w:tc>
        <w:tc>
          <w:tcPr>
            <w:tcW w:w="86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30</w:t>
            </w:r>
          </w:p>
        </w:tc>
        <w:tc>
          <w:tcPr>
            <w:tcW w:w="3247" w:type="dxa"/>
            <w:noWrap w:val="0"/>
            <w:tcMar>
              <w:top w:w="28" w:type="dxa"/>
              <w:left w:w="15" w:type="dxa"/>
              <w:bottom w:w="28" w:type="dxa"/>
              <w:right w:w="15" w:type="dxa"/>
            </w:tcMar>
            <w:vAlign w:val="center"/>
          </w:tcPr>
          <w:p>
            <w:pPr>
              <w:overflowPunct w:val="0"/>
              <w:contextualSpacing/>
              <w:rPr>
                <w:rFonts w:hint="eastAsia" w:ascii="仿宋_GB2312"/>
                <w:sz w:val="24"/>
                <w:szCs w:val="24"/>
                <w:lang w:bidi="ar"/>
              </w:rPr>
            </w:pPr>
            <w:r>
              <w:rPr>
                <w:rFonts w:hint="eastAsia" w:ascii="仿宋_GB2312"/>
                <w:sz w:val="24"/>
                <w:szCs w:val="24"/>
                <w:lang w:bidi="ar"/>
              </w:rPr>
              <w:t>企业驾驶员安全码连续三年为蓝码的，每1人加1分，最高不超过30分。</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行业内部</w:t>
            </w:r>
          </w:p>
          <w:p>
            <w:pPr>
              <w:overflowPunct w:val="0"/>
              <w:contextualSpacing/>
              <w:jc w:val="center"/>
              <w:rPr>
                <w:rFonts w:hint="eastAsia" w:ascii="仿宋_GB2312"/>
                <w:sz w:val="24"/>
                <w:szCs w:val="24"/>
                <w:lang w:bidi="ar"/>
              </w:rPr>
            </w:pPr>
            <w:r>
              <w:rPr>
                <w:rFonts w:hint="eastAsia" w:ascii="仿宋_GB2312"/>
                <w:sz w:val="24"/>
                <w:szCs w:val="24"/>
                <w:lang w:bidi="ar"/>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87" w:type="dxa"/>
            <w:gridSpan w:val="6"/>
            <w:noWrap w:val="0"/>
            <w:tcMar>
              <w:top w:w="28" w:type="dxa"/>
              <w:left w:w="15" w:type="dxa"/>
              <w:bottom w:w="28" w:type="dxa"/>
              <w:right w:w="15" w:type="dxa"/>
            </w:tcMar>
            <w:vAlign w:val="center"/>
          </w:tcPr>
          <w:p>
            <w:pPr>
              <w:tabs>
                <w:tab w:val="left" w:pos="1495"/>
                <w:tab w:val="left" w:pos="1687"/>
              </w:tabs>
              <w:overflowPunct w:val="0"/>
              <w:contextualSpacing/>
              <w:textAlignment w:val="center"/>
              <w:rPr>
                <w:rFonts w:hint="eastAsia" w:ascii="仿宋_GB2312"/>
                <w:sz w:val="24"/>
                <w:szCs w:val="24"/>
                <w:lang w:bidi="ar"/>
              </w:rPr>
            </w:pPr>
            <w:r>
              <w:rPr>
                <w:rFonts w:hint="eastAsia" w:ascii="仿宋_GB2312"/>
                <w:sz w:val="24"/>
                <w:szCs w:val="24"/>
                <w:lang w:bidi="ar"/>
              </w:rPr>
              <w:t>凡发生以下行为之一的，本年度信用分直接扣500分：</w:t>
            </w:r>
          </w:p>
          <w:p>
            <w:pPr>
              <w:tabs>
                <w:tab w:val="left" w:pos="1495"/>
                <w:tab w:val="left" w:pos="1687"/>
              </w:tabs>
              <w:overflowPunct w:val="0"/>
              <w:contextualSpacing/>
              <w:textAlignment w:val="center"/>
              <w:rPr>
                <w:rFonts w:hint="eastAsia" w:ascii="仿宋_GB2312"/>
                <w:sz w:val="24"/>
                <w:szCs w:val="24"/>
                <w:lang w:bidi="ar"/>
              </w:rPr>
            </w:pPr>
            <w:r>
              <w:rPr>
                <w:rFonts w:hint="eastAsia" w:ascii="仿宋_GB2312"/>
                <w:sz w:val="24"/>
                <w:szCs w:val="24"/>
                <w:lang w:bidi="ar"/>
              </w:rPr>
              <w:t>（一）道路运输企业因违反道路运输相关法律法规被吊销道路运输经营许可的；</w:t>
            </w:r>
          </w:p>
          <w:p>
            <w:pPr>
              <w:tabs>
                <w:tab w:val="left" w:pos="1495"/>
                <w:tab w:val="left" w:pos="1687"/>
              </w:tabs>
              <w:overflowPunct w:val="0"/>
              <w:contextualSpacing/>
              <w:textAlignment w:val="center"/>
              <w:rPr>
                <w:rFonts w:hint="eastAsia" w:ascii="仿宋_GB2312"/>
                <w:sz w:val="24"/>
                <w:szCs w:val="24"/>
                <w:lang w:bidi="ar"/>
              </w:rPr>
            </w:pPr>
            <w:r>
              <w:rPr>
                <w:rFonts w:hint="eastAsia" w:ascii="仿宋_GB2312"/>
                <w:sz w:val="24"/>
                <w:szCs w:val="24"/>
                <w:lang w:bidi="ar"/>
              </w:rPr>
              <w:t>（二）道路危险货物运输企业存在重大安全隐患、挂靠经营，被责令停业整顿的；</w:t>
            </w:r>
          </w:p>
          <w:p>
            <w:pPr>
              <w:tabs>
                <w:tab w:val="left" w:pos="1495"/>
                <w:tab w:val="left" w:pos="1687"/>
              </w:tabs>
              <w:overflowPunct w:val="0"/>
              <w:contextualSpacing/>
              <w:textAlignment w:val="center"/>
              <w:rPr>
                <w:rFonts w:hint="eastAsia" w:ascii="仿宋_GB2312"/>
                <w:sz w:val="24"/>
                <w:szCs w:val="24"/>
                <w:lang w:bidi="ar"/>
              </w:rPr>
            </w:pPr>
            <w:r>
              <w:rPr>
                <w:rFonts w:hint="eastAsia" w:ascii="仿宋_GB2312"/>
                <w:sz w:val="24"/>
                <w:szCs w:val="24"/>
                <w:lang w:bidi="ar"/>
              </w:rPr>
              <w:t>（三）故意瞒报同责以上行车亡人事故的；</w:t>
            </w:r>
          </w:p>
          <w:p>
            <w:pPr>
              <w:tabs>
                <w:tab w:val="left" w:pos="1495"/>
                <w:tab w:val="left" w:pos="1687"/>
              </w:tabs>
              <w:overflowPunct w:val="0"/>
              <w:contextualSpacing/>
              <w:textAlignment w:val="center"/>
              <w:rPr>
                <w:rFonts w:hint="eastAsia" w:ascii="仿宋_GB2312"/>
                <w:sz w:val="24"/>
                <w:szCs w:val="24"/>
                <w:lang w:bidi="ar"/>
              </w:rPr>
            </w:pPr>
            <w:r>
              <w:rPr>
                <w:rFonts w:hint="eastAsia" w:ascii="仿宋_GB2312"/>
                <w:sz w:val="24"/>
                <w:szCs w:val="24"/>
                <w:lang w:bidi="ar"/>
              </w:rPr>
              <w:t>（四）组织煽动从业人员进行上访、罢工、闹事，引发群体性事件造成恶劣影响的。</w:t>
            </w:r>
          </w:p>
          <w:p>
            <w:pPr>
              <w:tabs>
                <w:tab w:val="left" w:pos="1495"/>
                <w:tab w:val="left" w:pos="1687"/>
              </w:tabs>
              <w:overflowPunct w:val="0"/>
              <w:contextualSpacing/>
              <w:textAlignment w:val="center"/>
              <w:rPr>
                <w:rFonts w:hint="eastAsia" w:ascii="仿宋_GB2312"/>
                <w:sz w:val="24"/>
                <w:szCs w:val="24"/>
                <w:lang w:bidi="ar"/>
              </w:rPr>
            </w:pPr>
            <w:r>
              <w:rPr>
                <w:rFonts w:hint="eastAsia" w:ascii="仿宋_GB2312"/>
                <w:sz w:val="24"/>
                <w:szCs w:val="24"/>
                <w:lang w:bidi="ar"/>
              </w:rPr>
              <w:t>凡发生《浙江省道路运输企业信用管理实施细则》第十二条行为之一的，本年度信用分直接扣500分。</w:t>
            </w:r>
          </w:p>
        </w:tc>
        <w:tc>
          <w:tcPr>
            <w:tcW w:w="1258" w:type="dxa"/>
            <w:noWrap w:val="0"/>
            <w:tcMar>
              <w:top w:w="28" w:type="dxa"/>
              <w:left w:w="15" w:type="dxa"/>
              <w:bottom w:w="28" w:type="dxa"/>
              <w:right w:w="1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数据共享或手工录入</w:t>
            </w:r>
          </w:p>
        </w:tc>
      </w:tr>
    </w:tbl>
    <w:p>
      <w:pPr>
        <w:overflowPunct w:val="0"/>
        <w:spacing w:line="320" w:lineRule="exact"/>
        <w:ind w:firstLine="480" w:firstLineChars="200"/>
        <w:rPr>
          <w:rFonts w:hint="eastAsia" w:ascii="仿宋_GB2312"/>
          <w:sz w:val="24"/>
          <w:szCs w:val="28"/>
        </w:rPr>
      </w:pPr>
      <w:r>
        <w:rPr>
          <w:rFonts w:hint="eastAsia" w:ascii="仿宋_GB2312"/>
          <w:sz w:val="24"/>
          <w:szCs w:val="28"/>
        </w:rPr>
        <w:t>注：按照信息来源手工录入部门，由省、市、县分别录入。</w:t>
      </w:r>
    </w:p>
    <w:p>
      <w:pPr>
        <w:overflowPunct w:val="0"/>
        <w:spacing w:line="320" w:lineRule="exact"/>
        <w:ind w:firstLine="480" w:firstLineChars="200"/>
        <w:rPr>
          <w:rFonts w:hint="eastAsia" w:ascii="仿宋_GB2312"/>
          <w:sz w:val="24"/>
          <w:szCs w:val="28"/>
        </w:rPr>
      </w:pPr>
      <w:r>
        <w:rPr>
          <w:rFonts w:hint="eastAsia" w:ascii="仿宋_GB2312"/>
          <w:sz w:val="24"/>
          <w:szCs w:val="28"/>
        </w:rPr>
        <w:t>1.被省级管理部门列入省级重点安全监管企业、获得省部级以上荣誉称号的，由省级相关部门录入；</w:t>
      </w:r>
    </w:p>
    <w:p>
      <w:pPr>
        <w:overflowPunct w:val="0"/>
        <w:spacing w:line="320" w:lineRule="exact"/>
        <w:ind w:firstLine="480" w:firstLineChars="200"/>
        <w:rPr>
          <w:rFonts w:hint="eastAsia" w:ascii="仿宋_GB2312"/>
          <w:sz w:val="24"/>
          <w:szCs w:val="28"/>
        </w:rPr>
      </w:pPr>
      <w:r>
        <w:rPr>
          <w:rFonts w:hint="eastAsia" w:ascii="仿宋_GB2312"/>
          <w:sz w:val="24"/>
          <w:szCs w:val="28"/>
        </w:rPr>
        <w:t>2.被市级列入重点安全监管企业名单、发生恶劣群体性事件、红黑名单认定行为的，由市级相关部门录入；</w:t>
      </w:r>
    </w:p>
    <w:p>
      <w:pPr>
        <w:overflowPunct w:val="0"/>
        <w:spacing w:line="320" w:lineRule="exact"/>
        <w:ind w:firstLine="480" w:firstLineChars="200"/>
        <w:rPr>
          <w:rFonts w:hint="eastAsia" w:ascii="仿宋_GB2312"/>
          <w:sz w:val="24"/>
          <w:szCs w:val="28"/>
        </w:rPr>
      </w:pPr>
      <w:r>
        <w:rPr>
          <w:rFonts w:hint="eastAsia" w:ascii="仿宋_GB2312"/>
          <w:sz w:val="24"/>
          <w:szCs w:val="28"/>
        </w:rPr>
        <w:t>3.事故相关信息、企业安全生产标准化建设达标情况等信息的，由县级相关部门录入。</w:t>
      </w:r>
    </w:p>
    <w:p>
      <w:pPr>
        <w:overflowPunct w:val="0"/>
        <w:spacing w:line="580" w:lineRule="exact"/>
        <w:rPr>
          <w:rFonts w:hAnsi="黑体" w:eastAsia="黑体"/>
          <w:szCs w:val="32"/>
        </w:rPr>
      </w:pPr>
      <w:r>
        <w:rPr>
          <w:rFonts w:hint="eastAsia" w:ascii="仿宋_GB2312"/>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6</w:t>
      </w:r>
    </w:p>
    <w:p>
      <w:pPr>
        <w:overflowPunct w:val="0"/>
        <w:spacing w:line="580" w:lineRule="exact"/>
        <w:ind w:firstLine="640" w:firstLineChars="200"/>
        <w:rPr>
          <w:szCs w:val="32"/>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道路机动车驾驶员培训机构信用评价标准</w:t>
      </w:r>
    </w:p>
    <w:p>
      <w:pPr>
        <w:overflowPunct w:val="0"/>
        <w:spacing w:line="580" w:lineRule="exact"/>
        <w:jc w:val="center"/>
        <w:rPr>
          <w:rFonts w:hint="eastAsia"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31"/>
        <w:gridCol w:w="679"/>
        <w:gridCol w:w="915"/>
        <w:gridCol w:w="1581"/>
        <w:gridCol w:w="906"/>
        <w:gridCol w:w="2664"/>
        <w:gridCol w:w="13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31"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7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91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581"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906"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66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6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31"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7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915"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1581"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rPr>
              <w:t>信用承诺履行情况</w:t>
            </w:r>
          </w:p>
        </w:tc>
        <w:tc>
          <w:tcPr>
            <w:tcW w:w="906"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664"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3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79"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市场信用</w:t>
            </w:r>
          </w:p>
        </w:tc>
        <w:tc>
          <w:tcPr>
            <w:tcW w:w="915"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350</w:t>
            </w:r>
          </w:p>
        </w:tc>
        <w:tc>
          <w:tcPr>
            <w:tcW w:w="1581"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rPr>
              <w:t>落实“先培后付，计时收费”情况</w:t>
            </w:r>
          </w:p>
        </w:tc>
        <w:tc>
          <w:tcPr>
            <w:tcW w:w="906"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664" w:type="dxa"/>
            <w:noWrap w:val="0"/>
            <w:tcMar>
              <w:top w:w="28" w:type="dxa"/>
              <w:bottom w:w="28" w:type="dxa"/>
            </w:tcMar>
            <w:vAlign w:val="center"/>
          </w:tcPr>
          <w:p>
            <w:pPr>
              <w:overflowPunct w:val="0"/>
              <w:contextualSpacing/>
              <w:rPr>
                <w:rFonts w:hint="eastAsia" w:ascii="仿宋_GB2312"/>
                <w:sz w:val="24"/>
                <w:szCs w:val="24"/>
                <w:lang w:val="zh-CN"/>
              </w:rPr>
            </w:pPr>
            <w:r>
              <w:rPr>
                <w:rFonts w:hint="eastAsia" w:ascii="仿宋_GB2312"/>
                <w:sz w:val="24"/>
                <w:szCs w:val="24"/>
                <w:lang w:val="zh-CN"/>
              </w:rPr>
              <w:t>未落实“先培后付，计时收费”的，扣50分。</w:t>
            </w:r>
          </w:p>
        </w:tc>
        <w:tc>
          <w:tcPr>
            <w:tcW w:w="13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79"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91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1581"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rPr>
              <w:t>综合监管平台中被责令整改情况</w:t>
            </w:r>
          </w:p>
        </w:tc>
        <w:tc>
          <w:tcPr>
            <w:tcW w:w="906"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2664"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3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79"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91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1581"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rPr>
              <w:t>被交通运输部门行政处罚情况</w:t>
            </w:r>
          </w:p>
        </w:tc>
        <w:tc>
          <w:tcPr>
            <w:tcW w:w="906"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2664"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rPr>
              <w:t>每0.01次/车扣25分，扣完为止。</w:t>
            </w:r>
          </w:p>
        </w:tc>
        <w:tc>
          <w:tcPr>
            <w:tcW w:w="13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79"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服务信用</w:t>
            </w:r>
          </w:p>
        </w:tc>
        <w:tc>
          <w:tcPr>
            <w:tcW w:w="915"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1581"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val="zh-CN"/>
              </w:rPr>
              <w:t>被投诉案件情况</w:t>
            </w:r>
          </w:p>
        </w:tc>
        <w:tc>
          <w:tcPr>
            <w:tcW w:w="906"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2664"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val="zh-CN"/>
              </w:rPr>
              <w:t>被投诉及社会监督组织发现问题且属实的，1次扣30分，扣完为止。</w:t>
            </w:r>
          </w:p>
        </w:tc>
        <w:tc>
          <w:tcPr>
            <w:tcW w:w="13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w:t>
            </w:r>
          </w:p>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79"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91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1581"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rPr>
              <w:t>被媒体曝光负面事件情况</w:t>
            </w:r>
          </w:p>
        </w:tc>
        <w:tc>
          <w:tcPr>
            <w:tcW w:w="906"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664"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val="zh-CN"/>
              </w:rPr>
              <w:t>被新闻媒体曝光的，每次扣10分，情节特别恶劣的，扣50分，扣完为止。</w:t>
            </w:r>
          </w:p>
        </w:tc>
        <w:tc>
          <w:tcPr>
            <w:tcW w:w="13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79"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915"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250</w:t>
            </w:r>
          </w:p>
        </w:tc>
        <w:tc>
          <w:tcPr>
            <w:tcW w:w="158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执法检查中发现问题情况</w:t>
            </w:r>
          </w:p>
        </w:tc>
        <w:tc>
          <w:tcPr>
            <w:tcW w:w="90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664"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36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79"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915"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58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被公安机关交通管理部门行政处罚情况</w:t>
            </w:r>
          </w:p>
        </w:tc>
        <w:tc>
          <w:tcPr>
            <w:tcW w:w="90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664"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按照企业排序进行系统自动计算扣分。</w:t>
            </w:r>
          </w:p>
        </w:tc>
        <w:tc>
          <w:tcPr>
            <w:tcW w:w="136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公安厅交管局数据共享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679"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915"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1581"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lang w:bidi="ar"/>
              </w:rPr>
              <w:t>发生行车事故</w:t>
            </w:r>
          </w:p>
        </w:tc>
        <w:tc>
          <w:tcPr>
            <w:tcW w:w="906"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100</w:t>
            </w:r>
          </w:p>
        </w:tc>
        <w:tc>
          <w:tcPr>
            <w:tcW w:w="2664" w:type="dxa"/>
            <w:noWrap w:val="0"/>
            <w:tcMar>
              <w:top w:w="57" w:type="dxa"/>
              <w:bottom w:w="57" w:type="dxa"/>
            </w:tcMar>
            <w:vAlign w:val="center"/>
          </w:tcPr>
          <w:p>
            <w:pPr>
              <w:overflowPunct w:val="0"/>
              <w:spacing w:line="280" w:lineRule="exact"/>
              <w:contextualSpacing/>
              <w:rPr>
                <w:rFonts w:hint="eastAsia" w:ascii="仿宋_GB2312"/>
                <w:sz w:val="24"/>
                <w:szCs w:val="24"/>
              </w:rPr>
            </w:pPr>
            <w:r>
              <w:rPr>
                <w:rFonts w:hint="eastAsia" w:ascii="仿宋_GB2312"/>
                <w:sz w:val="24"/>
                <w:szCs w:val="24"/>
                <w:lang w:bidi="ar"/>
              </w:rPr>
              <w:t>发生道路交通行车伤人事故未造成死亡的，每起扣20分；发生事故未造成人员死亡但引起社会较大关注的，每起扣20分，扣完为止。</w:t>
            </w:r>
          </w:p>
        </w:tc>
        <w:tc>
          <w:tcPr>
            <w:tcW w:w="1369" w:type="dxa"/>
            <w:noWrap w:val="0"/>
            <w:tcMar>
              <w:top w:w="57" w:type="dxa"/>
              <w:bottom w:w="57" w:type="dxa"/>
            </w:tcMar>
            <w:vAlign w:val="center"/>
          </w:tcPr>
          <w:p>
            <w:pPr>
              <w:overflowPunct w:val="0"/>
              <w:contextualSpacing/>
              <w:jc w:val="center"/>
              <w:rPr>
                <w:rFonts w:hint="eastAsia" w:ascii="仿宋_GB2312"/>
                <w:sz w:val="24"/>
                <w:szCs w:val="24"/>
                <w:lang w:bidi="ar"/>
              </w:rPr>
            </w:pPr>
            <w:r>
              <w:rPr>
                <w:rFonts w:hint="eastAsia" w:ascii="仿宋_GB2312"/>
                <w:sz w:val="24"/>
                <w:szCs w:val="24"/>
                <w:lang w:bidi="ar"/>
              </w:rPr>
              <w:t>公安数据</w:t>
            </w:r>
          </w:p>
          <w:p>
            <w:pPr>
              <w:overflowPunct w:val="0"/>
              <w:contextualSpacing/>
              <w:jc w:val="center"/>
              <w:rPr>
                <w:rFonts w:hint="eastAsia" w:ascii="仿宋_GB2312"/>
                <w:sz w:val="24"/>
                <w:szCs w:val="24"/>
                <w:lang w:bidi="ar"/>
              </w:rPr>
            </w:pPr>
            <w:r>
              <w:rPr>
                <w:rFonts w:hint="eastAsia" w:ascii="仿宋_GB2312"/>
                <w:sz w:val="24"/>
                <w:szCs w:val="24"/>
                <w:lang w:bidi="ar"/>
              </w:rPr>
              <w:t>共享与行业内部数据</w:t>
            </w:r>
          </w:p>
          <w:p>
            <w:pPr>
              <w:overflowPunct w:val="0"/>
              <w:contextualSpacing/>
              <w:jc w:val="center"/>
              <w:rPr>
                <w:rFonts w:hint="eastAsia" w:ascii="仿宋_GB2312"/>
                <w:sz w:val="24"/>
                <w:szCs w:val="24"/>
              </w:rPr>
            </w:pPr>
            <w:r>
              <w:rPr>
                <w:rFonts w:hint="eastAsia" w:ascii="仿宋_GB2312"/>
                <w:sz w:val="24"/>
                <w:szCs w:val="24"/>
                <w:lang w:bidi="ar"/>
              </w:rPr>
              <w:t>共享比对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679"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915"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250</w:t>
            </w:r>
          </w:p>
        </w:tc>
        <w:tc>
          <w:tcPr>
            <w:tcW w:w="1581"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lang w:val="zh-CN"/>
              </w:rPr>
              <w:t>发生安全生产责任事故致人死亡或道路交通同责以上亡人事故</w:t>
            </w:r>
          </w:p>
        </w:tc>
        <w:tc>
          <w:tcPr>
            <w:tcW w:w="90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250</w:t>
            </w:r>
          </w:p>
        </w:tc>
        <w:tc>
          <w:tcPr>
            <w:tcW w:w="266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发生一次死亡</w:t>
            </w:r>
            <w:r>
              <w:rPr>
                <w:rFonts w:hint="eastAsia" w:ascii="仿宋_GB2312"/>
                <w:sz w:val="24"/>
                <w:szCs w:val="24"/>
                <w:lang w:bidi="ar"/>
              </w:rPr>
              <w:t>1-2人</w:t>
            </w:r>
            <w:r>
              <w:rPr>
                <w:rFonts w:hint="eastAsia" w:ascii="仿宋_GB2312"/>
                <w:sz w:val="24"/>
                <w:szCs w:val="24"/>
              </w:rPr>
              <w:t>安全生产责任事故或道路交通同责以上亡人事故的，每发生一起扣125分，扣完为止。</w:t>
            </w:r>
          </w:p>
        </w:tc>
        <w:tc>
          <w:tcPr>
            <w:tcW w:w="13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679"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915"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581"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被停业整顿</w:t>
            </w:r>
          </w:p>
        </w:tc>
        <w:tc>
          <w:tcPr>
            <w:tcW w:w="90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250</w:t>
            </w:r>
          </w:p>
        </w:tc>
        <w:tc>
          <w:tcPr>
            <w:tcW w:w="266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因存在严重安全隐患，被勒令停业整顿的，每发生一次扣125分，扣完为止。</w:t>
            </w:r>
          </w:p>
        </w:tc>
        <w:tc>
          <w:tcPr>
            <w:tcW w:w="13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67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公共信用</w:t>
            </w:r>
          </w:p>
        </w:tc>
        <w:tc>
          <w:tcPr>
            <w:tcW w:w="915"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1581"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90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266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根据省信用办提供的企业公共信用分值按比例进行换算。</w:t>
            </w:r>
          </w:p>
        </w:tc>
        <w:tc>
          <w:tcPr>
            <w:tcW w:w="13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省大数据局数据共享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13</w:t>
            </w:r>
          </w:p>
        </w:tc>
        <w:tc>
          <w:tcPr>
            <w:tcW w:w="679"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加</w:t>
            </w:r>
          </w:p>
          <w:p>
            <w:pPr>
              <w:overflowPunct w:val="0"/>
              <w:contextualSpacing/>
              <w:jc w:val="center"/>
              <w:rPr>
                <w:rFonts w:hint="eastAsia" w:ascii="仿宋_GB2312"/>
                <w:sz w:val="24"/>
                <w:szCs w:val="24"/>
              </w:rPr>
            </w:pPr>
            <w:r>
              <w:rPr>
                <w:rFonts w:hint="eastAsia" w:ascii="仿宋_GB2312"/>
                <w:sz w:val="24"/>
                <w:szCs w:val="24"/>
              </w:rPr>
              <w:t>分</w:t>
            </w:r>
          </w:p>
          <w:p>
            <w:pPr>
              <w:overflowPunct w:val="0"/>
              <w:contextualSpacing/>
              <w:jc w:val="center"/>
              <w:rPr>
                <w:rFonts w:hint="eastAsia" w:ascii="仿宋_GB2312"/>
                <w:sz w:val="24"/>
                <w:szCs w:val="24"/>
              </w:rPr>
            </w:pPr>
            <w:r>
              <w:rPr>
                <w:rFonts w:hint="eastAsia" w:ascii="仿宋_GB2312"/>
                <w:sz w:val="24"/>
                <w:szCs w:val="24"/>
              </w:rPr>
              <w:t>项</w:t>
            </w:r>
          </w:p>
        </w:tc>
        <w:tc>
          <w:tcPr>
            <w:tcW w:w="915"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581"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获得市厅级以上荣誉称号情况</w:t>
            </w:r>
          </w:p>
        </w:tc>
        <w:tc>
          <w:tcPr>
            <w:tcW w:w="90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664" w:type="dxa"/>
            <w:noWrap w:val="0"/>
            <w:tcMar>
              <w:top w:w="85" w:type="dxa"/>
              <w:bottom w:w="85" w:type="dxa"/>
            </w:tcMar>
            <w:vAlign w:val="center"/>
          </w:tcPr>
          <w:p>
            <w:pPr>
              <w:tabs>
                <w:tab w:val="left" w:pos="633"/>
              </w:tabs>
              <w:overflowPunct w:val="0"/>
              <w:contextualSpacing/>
              <w:rPr>
                <w:rFonts w:hint="eastAsia" w:ascii="仿宋_GB2312"/>
                <w:sz w:val="24"/>
                <w:szCs w:val="24"/>
              </w:rPr>
            </w:pPr>
            <w:r>
              <w:rPr>
                <w:rFonts w:hint="eastAsia" w:ascii="仿宋_GB2312"/>
                <w:sz w:val="24"/>
                <w:szCs w:val="24"/>
              </w:rPr>
              <w:t>获得市厅级以上单位（不含下设机构）授予的在评优创先、安全生产、文明服务、精神文明建设方面的集体荣誉称号的，加20分。</w:t>
            </w:r>
          </w:p>
        </w:tc>
        <w:tc>
          <w:tcPr>
            <w:tcW w:w="13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14</w:t>
            </w:r>
          </w:p>
        </w:tc>
        <w:tc>
          <w:tcPr>
            <w:tcW w:w="679"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915"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581"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学驾人员年度合格情况</w:t>
            </w:r>
          </w:p>
        </w:tc>
        <w:tc>
          <w:tcPr>
            <w:tcW w:w="90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66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学驾人员年度排行排名位列全市前三的，加20分。</w:t>
            </w:r>
          </w:p>
        </w:tc>
        <w:tc>
          <w:tcPr>
            <w:tcW w:w="13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1"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15</w:t>
            </w:r>
          </w:p>
        </w:tc>
        <w:tc>
          <w:tcPr>
            <w:tcW w:w="679"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915"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581"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906"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60</w:t>
            </w:r>
          </w:p>
        </w:tc>
        <w:tc>
          <w:tcPr>
            <w:tcW w:w="266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lang w:val="zh-CN"/>
              </w:rPr>
              <w:t>配合处置突发事件、参与应急抢险、自然灾害救援的，1次加10分；企业驾驶员</w:t>
            </w:r>
            <w:r>
              <w:rPr>
                <w:rFonts w:hint="eastAsia" w:ascii="仿宋_GB2312"/>
                <w:sz w:val="24"/>
                <w:szCs w:val="24"/>
              </w:rPr>
              <w:t>有见义勇为、救死扶伤、拾金不昧等事迹的，每1起加5分，加满为止。</w:t>
            </w:r>
          </w:p>
        </w:tc>
        <w:tc>
          <w:tcPr>
            <w:tcW w:w="13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76" w:type="dxa"/>
            <w:gridSpan w:val="6"/>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凡发生以下行为之一的，本年度信用分直接扣500分：</w:t>
            </w:r>
          </w:p>
          <w:p>
            <w:pPr>
              <w:overflowPunct w:val="0"/>
              <w:contextualSpacing/>
              <w:rPr>
                <w:rFonts w:hint="eastAsia" w:ascii="仿宋_GB2312"/>
                <w:sz w:val="24"/>
                <w:szCs w:val="24"/>
              </w:rPr>
            </w:pPr>
            <w:r>
              <w:rPr>
                <w:rFonts w:hint="eastAsia" w:ascii="仿宋_GB2312"/>
                <w:sz w:val="24"/>
                <w:szCs w:val="24"/>
              </w:rPr>
              <w:t>（一）道路运输企业因违反道路运输相关法律法规被吊销道路运输经营许可的；</w:t>
            </w:r>
          </w:p>
          <w:p>
            <w:pPr>
              <w:overflowPunct w:val="0"/>
              <w:contextualSpacing/>
              <w:rPr>
                <w:rFonts w:hint="eastAsia" w:ascii="仿宋_GB2312"/>
                <w:sz w:val="24"/>
                <w:szCs w:val="24"/>
              </w:rPr>
            </w:pPr>
            <w:r>
              <w:rPr>
                <w:rFonts w:hint="eastAsia" w:ascii="仿宋_GB2312"/>
                <w:sz w:val="24"/>
                <w:szCs w:val="24"/>
              </w:rPr>
              <w:t>（二）故意瞒报亡人安全或行车责任事故信息的；</w:t>
            </w:r>
          </w:p>
          <w:p>
            <w:pPr>
              <w:overflowPunct w:val="0"/>
              <w:contextualSpacing/>
              <w:rPr>
                <w:rFonts w:hint="eastAsia" w:ascii="仿宋_GB2312"/>
                <w:sz w:val="24"/>
                <w:szCs w:val="24"/>
              </w:rPr>
            </w:pPr>
            <w:r>
              <w:rPr>
                <w:rFonts w:hint="eastAsia" w:ascii="仿宋_GB2312"/>
                <w:sz w:val="24"/>
                <w:szCs w:val="24"/>
              </w:rPr>
              <w:t>（三）组织煽动从业人员进行上访、罢工、闹事，引发群体性事件造成恶劣影响的。</w:t>
            </w:r>
          </w:p>
          <w:p>
            <w:pPr>
              <w:overflowPunct w:val="0"/>
              <w:contextualSpacing/>
              <w:rPr>
                <w:rFonts w:hint="eastAsia" w:ascii="仿宋_GB2312"/>
                <w:sz w:val="24"/>
                <w:szCs w:val="24"/>
              </w:rPr>
            </w:pPr>
            <w:r>
              <w:rPr>
                <w:rFonts w:hint="eastAsia" w:ascii="仿宋_GB2312"/>
                <w:sz w:val="24"/>
                <w:szCs w:val="24"/>
                <w:lang w:val="zh-CN"/>
              </w:rPr>
              <w:t>凡发生《浙江省道路运输企业信用管理实施细则》第十二条行为之一的，本年度信用分直接扣500分。</w:t>
            </w:r>
          </w:p>
        </w:tc>
        <w:tc>
          <w:tcPr>
            <w:tcW w:w="136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行业内部数数据共享或手工录入</w:t>
            </w:r>
          </w:p>
        </w:tc>
      </w:tr>
    </w:tbl>
    <w:p>
      <w:pPr>
        <w:overflowPunct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一、按照企业排序进行扣分的具体规则，按照此指标下的企业从低到高进行排名，不同排名扣除不同分值的方式</w:t>
      </w:r>
    </w:p>
    <w:p>
      <w:pPr>
        <w:overflowPunct w:val="0"/>
        <w:spacing w:line="360" w:lineRule="exact"/>
        <w:ind w:firstLine="480" w:firstLineChars="200"/>
        <w:rPr>
          <w:rFonts w:hint="eastAsia" w:ascii="仿宋_GB2312"/>
          <w:sz w:val="24"/>
          <w:szCs w:val="28"/>
        </w:rPr>
      </w:pPr>
      <w:r>
        <w:rPr>
          <w:rFonts w:hint="eastAsia" w:ascii="仿宋_GB2312"/>
          <w:sz w:val="24"/>
          <w:szCs w:val="28"/>
        </w:rPr>
        <w:t>1. 首先将企业按照指标数据从小到大排序；</w:t>
      </w:r>
    </w:p>
    <w:p>
      <w:pPr>
        <w:overflowPunct w:val="0"/>
        <w:spacing w:line="360" w:lineRule="exact"/>
        <w:ind w:firstLine="480" w:firstLineChars="200"/>
        <w:rPr>
          <w:rFonts w:hint="eastAsia" w:ascii="仿宋_GB2312"/>
          <w:sz w:val="24"/>
          <w:szCs w:val="28"/>
        </w:rPr>
      </w:pPr>
      <w:r>
        <w:rPr>
          <w:rFonts w:hint="eastAsia" w:ascii="仿宋_GB2312"/>
          <w:sz w:val="24"/>
          <w:szCs w:val="28"/>
        </w:rPr>
        <w:t>2. 按照排序好的企业，计算该企业在总体企业中的位置，例如处于前20%的位置，就扣除该指标分值*0.2的分数（二级指标为10分，扣除分数为10*0.2=2分）。</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二、对综合监管平台中被责令整改情况、学时异常率、被交通运输部门行政处罚情况、被公安机关交通管理部门行政处罚情况的具体解释</w:t>
      </w:r>
    </w:p>
    <w:p>
      <w:pPr>
        <w:overflowPunct w:val="0"/>
        <w:spacing w:line="360" w:lineRule="exact"/>
        <w:ind w:firstLine="480" w:firstLineChars="200"/>
        <w:rPr>
          <w:rFonts w:hint="eastAsia" w:ascii="仿宋_GB2312"/>
          <w:sz w:val="24"/>
          <w:szCs w:val="28"/>
        </w:rPr>
      </w:pPr>
      <w:r>
        <w:rPr>
          <w:rFonts w:hint="eastAsia" w:ascii="仿宋_GB2312"/>
          <w:sz w:val="24"/>
          <w:szCs w:val="28"/>
        </w:rPr>
        <w:t>综合监管平台中被责令整改情况：评价周期内企业已整改单数/该企业当前营运车辆总数；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被交通运输部门行政处罚情况：评价周期内企业被交通运输部门行政处罚数/该企业当前营运车辆总数；</w:t>
      </w:r>
    </w:p>
    <w:p>
      <w:pPr>
        <w:overflowPunct w:val="0"/>
        <w:spacing w:line="360" w:lineRule="exact"/>
        <w:ind w:firstLine="480" w:firstLineChars="200"/>
        <w:rPr>
          <w:rFonts w:hint="eastAsia" w:ascii="仿宋_GB2312"/>
          <w:sz w:val="24"/>
          <w:szCs w:val="28"/>
        </w:rPr>
      </w:pPr>
      <w:r>
        <w:rPr>
          <w:rFonts w:hint="eastAsia" w:ascii="仿宋_GB2312"/>
          <w:sz w:val="24"/>
          <w:szCs w:val="28"/>
        </w:rPr>
        <w:t>被公安机关交通管理部门行政处罚情况：评价周期内企业所属营运车辆被公安机关交通管理部门行政处罚数/该企业当前营运车辆总数。</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三、关于手工录入部分市、县分工说明</w:t>
      </w:r>
    </w:p>
    <w:p>
      <w:pPr>
        <w:overflowPunct w:val="0"/>
        <w:spacing w:line="36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除被媒体曝光负面事件由市级交通运输部门负责外，其他手工录入数据按照信息来源，由市、县分别录入。具体说明如下：</w:t>
      </w:r>
    </w:p>
    <w:p>
      <w:pPr>
        <w:overflowPunct w:val="0"/>
        <w:spacing w:line="360" w:lineRule="exact"/>
        <w:ind w:firstLine="480" w:firstLineChars="200"/>
        <w:rPr>
          <w:rFonts w:hint="eastAsia" w:ascii="仿宋_GB2312"/>
          <w:sz w:val="24"/>
          <w:szCs w:val="28"/>
        </w:rPr>
      </w:pPr>
      <w:r>
        <w:rPr>
          <w:rFonts w:hint="eastAsia" w:ascii="仿宋_GB2312"/>
          <w:sz w:val="24"/>
          <w:szCs w:val="28"/>
        </w:rPr>
        <w:t>1.获得省部级以上荣誉称号的，由省级相关部门录入；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2.被市级12345/12328投诉信息、停业整顿、发生恶劣群体性事件、红黑名单认定行为、学驾人员年度合格情况的，由市级相关部门录入；</w:t>
      </w:r>
    </w:p>
    <w:p>
      <w:pPr>
        <w:overflowPunct w:val="0"/>
        <w:spacing w:line="580" w:lineRule="exact"/>
        <w:ind w:firstLine="480" w:firstLineChars="200"/>
        <w:rPr>
          <w:rFonts w:hAnsi="黑体" w:eastAsia="黑体"/>
          <w:szCs w:val="32"/>
        </w:rPr>
      </w:pPr>
      <w:r>
        <w:rPr>
          <w:rFonts w:hint="eastAsia" w:ascii="仿宋_GB2312"/>
          <w:sz w:val="24"/>
          <w:szCs w:val="28"/>
        </w:rPr>
        <w:t>3.被县级12345/12328投诉信息、事故相关信息、参与社会公益及应急救援等信息的，由县级相关部门录入。</w:t>
      </w:r>
      <w:r>
        <w:rPr>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7</w:t>
      </w:r>
    </w:p>
    <w:p>
      <w:pPr>
        <w:overflowPunct w:val="0"/>
        <w:autoSpaceDE w:val="0"/>
        <w:adjustRightInd w:val="0"/>
        <w:spacing w:line="580" w:lineRule="exact"/>
        <w:ind w:firstLine="640" w:firstLineChars="200"/>
        <w:rPr>
          <w:szCs w:val="32"/>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道路机动车维修企业信用评价标准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39"/>
        <w:gridCol w:w="628"/>
        <w:gridCol w:w="899"/>
        <w:gridCol w:w="1419"/>
        <w:gridCol w:w="991"/>
        <w:gridCol w:w="2837"/>
        <w:gridCol w:w="13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3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2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89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41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991"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837"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3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1</w:t>
            </w:r>
          </w:p>
        </w:tc>
        <w:tc>
          <w:tcPr>
            <w:tcW w:w="628"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经营信用</w:t>
            </w:r>
          </w:p>
        </w:tc>
        <w:tc>
          <w:tcPr>
            <w:tcW w:w="89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50</w:t>
            </w:r>
          </w:p>
        </w:tc>
        <w:tc>
          <w:tcPr>
            <w:tcW w:w="1419" w:type="dxa"/>
            <w:noWrap w:val="0"/>
            <w:tcMar>
              <w:top w:w="113" w:type="dxa"/>
              <w:bottom w:w="113" w:type="dxa"/>
            </w:tcMar>
            <w:vAlign w:val="center"/>
          </w:tcPr>
          <w:p>
            <w:pPr>
              <w:overflowPunct w:val="0"/>
              <w:contextualSpacing/>
              <w:rPr>
                <w:rFonts w:hint="eastAsia" w:ascii="仿宋_GB2312"/>
                <w:sz w:val="24"/>
                <w:szCs w:val="24"/>
              </w:rPr>
            </w:pPr>
            <w:r>
              <w:rPr>
                <w:rFonts w:hint="eastAsia" w:ascii="仿宋_GB2312"/>
                <w:sz w:val="24"/>
                <w:szCs w:val="24"/>
              </w:rPr>
              <w:t>信用承诺履行情况</w:t>
            </w:r>
          </w:p>
        </w:tc>
        <w:tc>
          <w:tcPr>
            <w:tcW w:w="991" w:type="dxa"/>
            <w:noWrap w:val="0"/>
            <w:tcMar>
              <w:top w:w="113" w:type="dxa"/>
              <w:bottom w:w="113"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837" w:type="dxa"/>
            <w:noWrap w:val="0"/>
            <w:tcMar>
              <w:top w:w="113" w:type="dxa"/>
              <w:bottom w:w="113" w:type="dxa"/>
            </w:tcMar>
            <w:vAlign w:val="center"/>
          </w:tcPr>
          <w:p>
            <w:pPr>
              <w:overflowPunct w:val="0"/>
              <w:contextualSpacing/>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332" w:type="dxa"/>
            <w:noWrap w:val="0"/>
            <w:tcMar>
              <w:top w:w="113" w:type="dxa"/>
              <w:bottom w:w="113"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676" w:hRule="atLeast"/>
          <w:jc w:val="center"/>
        </w:trPr>
        <w:tc>
          <w:tcPr>
            <w:tcW w:w="73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2</w:t>
            </w:r>
          </w:p>
        </w:tc>
        <w:tc>
          <w:tcPr>
            <w:tcW w:w="628" w:type="dxa"/>
            <w:vMerge w:val="restart"/>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市场信用</w:t>
            </w:r>
          </w:p>
        </w:tc>
        <w:tc>
          <w:tcPr>
            <w:tcW w:w="899" w:type="dxa"/>
            <w:vMerge w:val="restart"/>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350</w:t>
            </w:r>
          </w:p>
        </w:tc>
        <w:tc>
          <w:tcPr>
            <w:tcW w:w="1419"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bCs/>
                <w:sz w:val="24"/>
                <w:szCs w:val="24"/>
              </w:rPr>
              <w:t>未按规定建立机动车维修电子健康档案系统或未上传相关数据的</w:t>
            </w:r>
          </w:p>
        </w:tc>
        <w:tc>
          <w:tcPr>
            <w:tcW w:w="991"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100</w:t>
            </w:r>
          </w:p>
        </w:tc>
        <w:tc>
          <w:tcPr>
            <w:tcW w:w="2837" w:type="dxa"/>
            <w:noWrap w:val="0"/>
            <w:tcMar>
              <w:top w:w="113" w:type="dxa"/>
              <w:bottom w:w="113" w:type="dxa"/>
            </w:tcMar>
            <w:vAlign w:val="center"/>
          </w:tcPr>
          <w:p>
            <w:pPr>
              <w:overflowPunct w:val="0"/>
              <w:spacing w:line="280" w:lineRule="exact"/>
              <w:contextualSpacing/>
              <w:rPr>
                <w:rFonts w:hint="eastAsia" w:ascii="仿宋_GB2312"/>
                <w:bCs/>
                <w:sz w:val="24"/>
                <w:szCs w:val="24"/>
              </w:rPr>
            </w:pPr>
            <w:r>
              <w:rPr>
                <w:rFonts w:hint="eastAsia" w:ascii="仿宋_GB2312"/>
                <w:bCs/>
                <w:sz w:val="24"/>
                <w:szCs w:val="24"/>
              </w:rPr>
              <w:t>机动车维修企业在备案后30天内未对接机动车维修电子健康档案系统或未上传相关数据的扣50分，60天内未对接机动车维修电子健康档案系统或未上传相关数据的扣100分。</w:t>
            </w:r>
          </w:p>
        </w:tc>
        <w:tc>
          <w:tcPr>
            <w:tcW w:w="1332"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行业内部</w:t>
            </w:r>
          </w:p>
          <w:p>
            <w:pPr>
              <w:overflowPunct w:val="0"/>
              <w:contextualSpacing/>
              <w:jc w:val="center"/>
              <w:rPr>
                <w:rFonts w:hint="eastAsia" w:ascii="仿宋_GB2312"/>
                <w:bCs/>
                <w:sz w:val="24"/>
                <w:szCs w:val="24"/>
              </w:rPr>
            </w:pPr>
            <w:r>
              <w:rPr>
                <w:rFonts w:hint="eastAsia" w:ascii="仿宋_GB2312"/>
                <w:bCs/>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3</w:t>
            </w:r>
          </w:p>
        </w:tc>
        <w:tc>
          <w:tcPr>
            <w:tcW w:w="628" w:type="dxa"/>
            <w:vMerge w:val="continue"/>
            <w:noWrap w:val="0"/>
            <w:tcMar>
              <w:top w:w="113" w:type="dxa"/>
              <w:bottom w:w="113" w:type="dxa"/>
            </w:tcMar>
            <w:vAlign w:val="center"/>
          </w:tcPr>
          <w:p>
            <w:pPr>
              <w:overflowPunct w:val="0"/>
              <w:contextualSpacing/>
              <w:jc w:val="center"/>
              <w:rPr>
                <w:rFonts w:hint="eastAsia" w:ascii="仿宋_GB2312"/>
                <w:bCs/>
                <w:sz w:val="24"/>
                <w:szCs w:val="24"/>
              </w:rPr>
            </w:pPr>
          </w:p>
        </w:tc>
        <w:tc>
          <w:tcPr>
            <w:tcW w:w="899" w:type="dxa"/>
            <w:vMerge w:val="continue"/>
            <w:noWrap w:val="0"/>
            <w:tcMar>
              <w:top w:w="113" w:type="dxa"/>
              <w:bottom w:w="113" w:type="dxa"/>
            </w:tcMar>
            <w:vAlign w:val="center"/>
          </w:tcPr>
          <w:p>
            <w:pPr>
              <w:overflowPunct w:val="0"/>
              <w:contextualSpacing/>
              <w:jc w:val="center"/>
              <w:rPr>
                <w:rFonts w:hint="eastAsia" w:ascii="仿宋_GB2312"/>
                <w:bCs/>
                <w:sz w:val="24"/>
                <w:szCs w:val="24"/>
              </w:rPr>
            </w:pPr>
          </w:p>
        </w:tc>
        <w:tc>
          <w:tcPr>
            <w:tcW w:w="1419"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bCs/>
                <w:sz w:val="24"/>
                <w:szCs w:val="24"/>
              </w:rPr>
              <w:t>被列入机动车维修电子健康档案系统黑名单的</w:t>
            </w:r>
          </w:p>
        </w:tc>
        <w:tc>
          <w:tcPr>
            <w:tcW w:w="991"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50</w:t>
            </w:r>
          </w:p>
        </w:tc>
        <w:tc>
          <w:tcPr>
            <w:tcW w:w="2837"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bCs/>
                <w:sz w:val="24"/>
                <w:szCs w:val="24"/>
              </w:rPr>
              <w:t>按月度统计，被系统列为黑名单企业一次扣25分，扣完为止。</w:t>
            </w:r>
          </w:p>
        </w:tc>
        <w:tc>
          <w:tcPr>
            <w:tcW w:w="1332"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12" w:hRule="atLeast"/>
          <w:jc w:val="center"/>
        </w:trPr>
        <w:tc>
          <w:tcPr>
            <w:tcW w:w="73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4</w:t>
            </w:r>
          </w:p>
        </w:tc>
        <w:tc>
          <w:tcPr>
            <w:tcW w:w="628" w:type="dxa"/>
            <w:vMerge w:val="continue"/>
            <w:noWrap w:val="0"/>
            <w:tcMar>
              <w:top w:w="113" w:type="dxa"/>
              <w:bottom w:w="113" w:type="dxa"/>
            </w:tcMar>
            <w:vAlign w:val="center"/>
          </w:tcPr>
          <w:p>
            <w:pPr>
              <w:overflowPunct w:val="0"/>
              <w:contextualSpacing/>
              <w:jc w:val="center"/>
              <w:rPr>
                <w:rFonts w:hint="eastAsia" w:ascii="仿宋_GB2312"/>
                <w:bCs/>
                <w:sz w:val="24"/>
                <w:szCs w:val="24"/>
              </w:rPr>
            </w:pPr>
          </w:p>
        </w:tc>
        <w:tc>
          <w:tcPr>
            <w:tcW w:w="899" w:type="dxa"/>
            <w:vMerge w:val="continue"/>
            <w:noWrap w:val="0"/>
            <w:tcMar>
              <w:top w:w="113" w:type="dxa"/>
              <w:bottom w:w="113" w:type="dxa"/>
            </w:tcMar>
            <w:vAlign w:val="center"/>
          </w:tcPr>
          <w:p>
            <w:pPr>
              <w:overflowPunct w:val="0"/>
              <w:contextualSpacing/>
              <w:jc w:val="center"/>
              <w:rPr>
                <w:rFonts w:hint="eastAsia" w:ascii="仿宋_GB2312"/>
                <w:bCs/>
                <w:sz w:val="24"/>
                <w:szCs w:val="24"/>
              </w:rPr>
            </w:pPr>
          </w:p>
        </w:tc>
        <w:tc>
          <w:tcPr>
            <w:tcW w:w="1419"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sz w:val="24"/>
                <w:szCs w:val="24"/>
              </w:rPr>
              <w:t>被交通运输部门行政处罚情况</w:t>
            </w:r>
          </w:p>
        </w:tc>
        <w:tc>
          <w:tcPr>
            <w:tcW w:w="991"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200</w:t>
            </w:r>
          </w:p>
        </w:tc>
        <w:tc>
          <w:tcPr>
            <w:tcW w:w="2837"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bCs/>
                <w:sz w:val="24"/>
                <w:szCs w:val="24"/>
              </w:rPr>
              <w:t>每次扣50分，扣完为止。</w:t>
            </w:r>
          </w:p>
        </w:tc>
        <w:tc>
          <w:tcPr>
            <w:tcW w:w="1332"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行业内部</w:t>
            </w:r>
          </w:p>
          <w:p>
            <w:pPr>
              <w:overflowPunct w:val="0"/>
              <w:contextualSpacing/>
              <w:jc w:val="center"/>
              <w:rPr>
                <w:rFonts w:hint="eastAsia" w:ascii="仿宋_GB2312"/>
                <w:bCs/>
                <w:sz w:val="24"/>
                <w:szCs w:val="24"/>
              </w:rPr>
            </w:pPr>
            <w:r>
              <w:rPr>
                <w:rFonts w:hint="eastAsia" w:ascii="仿宋_GB2312"/>
                <w:bCs/>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5</w:t>
            </w:r>
          </w:p>
        </w:tc>
        <w:tc>
          <w:tcPr>
            <w:tcW w:w="628" w:type="dxa"/>
            <w:vMerge w:val="restart"/>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服务信用</w:t>
            </w:r>
          </w:p>
        </w:tc>
        <w:tc>
          <w:tcPr>
            <w:tcW w:w="899" w:type="dxa"/>
            <w:vMerge w:val="restart"/>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200</w:t>
            </w:r>
          </w:p>
        </w:tc>
        <w:tc>
          <w:tcPr>
            <w:tcW w:w="1419"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sz w:val="24"/>
                <w:szCs w:val="24"/>
                <w:lang w:val="zh-CN"/>
              </w:rPr>
              <w:t>被投诉案件情况</w:t>
            </w:r>
          </w:p>
        </w:tc>
        <w:tc>
          <w:tcPr>
            <w:tcW w:w="991"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150</w:t>
            </w:r>
          </w:p>
        </w:tc>
        <w:tc>
          <w:tcPr>
            <w:tcW w:w="2837"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sz w:val="24"/>
                <w:szCs w:val="24"/>
                <w:lang w:val="zh-CN"/>
              </w:rPr>
              <w:t>被投诉及社会监督组织发现问题且属实的，1次扣30分，扣完为止。</w:t>
            </w:r>
          </w:p>
        </w:tc>
        <w:tc>
          <w:tcPr>
            <w:tcW w:w="1332"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行业内部</w:t>
            </w:r>
          </w:p>
          <w:p>
            <w:pPr>
              <w:overflowPunct w:val="0"/>
              <w:contextualSpacing/>
              <w:jc w:val="center"/>
              <w:rPr>
                <w:rFonts w:hint="eastAsia" w:ascii="仿宋_GB2312"/>
                <w:bCs/>
                <w:sz w:val="24"/>
                <w:szCs w:val="24"/>
              </w:rPr>
            </w:pPr>
            <w:r>
              <w:rPr>
                <w:rFonts w:hint="eastAsia" w:ascii="仿宋_GB2312"/>
                <w:bCs/>
                <w:sz w:val="24"/>
                <w:szCs w:val="24"/>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6</w:t>
            </w:r>
          </w:p>
        </w:tc>
        <w:tc>
          <w:tcPr>
            <w:tcW w:w="628" w:type="dxa"/>
            <w:vMerge w:val="continue"/>
            <w:noWrap w:val="0"/>
            <w:tcMar>
              <w:top w:w="113" w:type="dxa"/>
              <w:bottom w:w="113" w:type="dxa"/>
            </w:tcMar>
            <w:vAlign w:val="center"/>
          </w:tcPr>
          <w:p>
            <w:pPr>
              <w:overflowPunct w:val="0"/>
              <w:contextualSpacing/>
              <w:jc w:val="center"/>
              <w:rPr>
                <w:rFonts w:hint="eastAsia" w:ascii="仿宋_GB2312"/>
                <w:bCs/>
                <w:sz w:val="24"/>
                <w:szCs w:val="24"/>
              </w:rPr>
            </w:pPr>
          </w:p>
        </w:tc>
        <w:tc>
          <w:tcPr>
            <w:tcW w:w="899" w:type="dxa"/>
            <w:vMerge w:val="continue"/>
            <w:noWrap w:val="0"/>
            <w:tcMar>
              <w:top w:w="113" w:type="dxa"/>
              <w:bottom w:w="113" w:type="dxa"/>
            </w:tcMar>
            <w:vAlign w:val="center"/>
          </w:tcPr>
          <w:p>
            <w:pPr>
              <w:overflowPunct w:val="0"/>
              <w:contextualSpacing/>
              <w:jc w:val="center"/>
              <w:rPr>
                <w:rFonts w:hint="eastAsia" w:ascii="仿宋_GB2312"/>
                <w:bCs/>
                <w:sz w:val="24"/>
                <w:szCs w:val="24"/>
              </w:rPr>
            </w:pPr>
          </w:p>
        </w:tc>
        <w:tc>
          <w:tcPr>
            <w:tcW w:w="1419" w:type="dxa"/>
            <w:noWrap w:val="0"/>
            <w:tcMar>
              <w:top w:w="113" w:type="dxa"/>
              <w:bottom w:w="113" w:type="dxa"/>
            </w:tcMar>
            <w:vAlign w:val="center"/>
          </w:tcPr>
          <w:p>
            <w:pPr>
              <w:overflowPunct w:val="0"/>
              <w:contextualSpacing/>
              <w:rPr>
                <w:rFonts w:hint="eastAsia" w:ascii="仿宋_GB2312"/>
                <w:sz w:val="24"/>
                <w:szCs w:val="24"/>
              </w:rPr>
            </w:pPr>
            <w:r>
              <w:rPr>
                <w:rFonts w:hint="eastAsia" w:ascii="仿宋_GB2312"/>
                <w:sz w:val="24"/>
                <w:szCs w:val="24"/>
              </w:rPr>
              <w:t>被媒体曝光负面事件情况</w:t>
            </w:r>
          </w:p>
        </w:tc>
        <w:tc>
          <w:tcPr>
            <w:tcW w:w="991"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50</w:t>
            </w:r>
          </w:p>
        </w:tc>
        <w:tc>
          <w:tcPr>
            <w:tcW w:w="2837"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sz w:val="24"/>
                <w:szCs w:val="24"/>
                <w:lang w:val="zh-CN"/>
              </w:rPr>
              <w:t>被新闻媒体曝光的，每次扣10分，情节特别恶劣的，扣50分，扣完为止。</w:t>
            </w:r>
          </w:p>
        </w:tc>
        <w:tc>
          <w:tcPr>
            <w:tcW w:w="1332"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7</w:t>
            </w:r>
          </w:p>
        </w:tc>
        <w:tc>
          <w:tcPr>
            <w:tcW w:w="628"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安全信用</w:t>
            </w:r>
          </w:p>
        </w:tc>
        <w:tc>
          <w:tcPr>
            <w:tcW w:w="899"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250</w:t>
            </w:r>
          </w:p>
        </w:tc>
        <w:tc>
          <w:tcPr>
            <w:tcW w:w="1419"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bCs/>
                <w:sz w:val="24"/>
                <w:szCs w:val="24"/>
              </w:rPr>
              <w:t>执法检查中发现问题情况</w:t>
            </w:r>
          </w:p>
        </w:tc>
        <w:tc>
          <w:tcPr>
            <w:tcW w:w="991"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150</w:t>
            </w:r>
          </w:p>
        </w:tc>
        <w:tc>
          <w:tcPr>
            <w:tcW w:w="2837" w:type="dxa"/>
            <w:noWrap w:val="0"/>
            <w:tcMar>
              <w:top w:w="113" w:type="dxa"/>
              <w:bottom w:w="113" w:type="dxa"/>
            </w:tcMar>
            <w:vAlign w:val="center"/>
          </w:tcPr>
          <w:p>
            <w:pPr>
              <w:overflowPunct w:val="0"/>
              <w:contextualSpacing/>
              <w:rPr>
                <w:rFonts w:hint="eastAsia" w:ascii="仿宋_GB2312"/>
                <w:bCs/>
                <w:sz w:val="24"/>
                <w:szCs w:val="24"/>
              </w:rPr>
            </w:pPr>
            <w:r>
              <w:rPr>
                <w:rFonts w:hint="eastAsia" w:ascii="仿宋_GB2312"/>
                <w:sz w:val="24"/>
                <w:szCs w:val="24"/>
              </w:rPr>
              <w:t>按照企业排序进行扣分；其中未按规定落实安全管理制度的，1次加扣20分，扣完为止。</w:t>
            </w:r>
          </w:p>
        </w:tc>
        <w:tc>
          <w:tcPr>
            <w:tcW w:w="1332" w:type="dxa"/>
            <w:noWrap w:val="0"/>
            <w:tcMar>
              <w:top w:w="113" w:type="dxa"/>
              <w:bottom w:w="113" w:type="dxa"/>
            </w:tcMar>
            <w:vAlign w:val="center"/>
          </w:tcPr>
          <w:p>
            <w:pPr>
              <w:overflowPunct w:val="0"/>
              <w:contextualSpacing/>
              <w:jc w:val="center"/>
              <w:rPr>
                <w:rFonts w:hint="eastAsia" w:ascii="仿宋_GB2312"/>
                <w:bCs/>
                <w:sz w:val="24"/>
                <w:szCs w:val="24"/>
              </w:rPr>
            </w:pPr>
            <w:r>
              <w:rPr>
                <w:rFonts w:hint="eastAsia" w:ascii="仿宋_GB2312"/>
                <w:bCs/>
                <w:sz w:val="24"/>
                <w:szCs w:val="24"/>
              </w:rPr>
              <w:t>行业内部</w:t>
            </w:r>
          </w:p>
          <w:p>
            <w:pPr>
              <w:overflowPunct w:val="0"/>
              <w:contextualSpacing/>
              <w:jc w:val="center"/>
              <w:rPr>
                <w:rFonts w:hint="eastAsia" w:ascii="仿宋_GB2312"/>
                <w:bCs/>
                <w:sz w:val="24"/>
                <w:szCs w:val="24"/>
              </w:rPr>
            </w:pPr>
            <w:r>
              <w:rPr>
                <w:rFonts w:hint="eastAsia" w:ascii="仿宋_GB2312"/>
                <w:bCs/>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8</w:t>
            </w:r>
          </w:p>
        </w:tc>
        <w:tc>
          <w:tcPr>
            <w:tcW w:w="628" w:type="dxa"/>
            <w:vMerge w:val="restart"/>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安全信用</w:t>
            </w:r>
          </w:p>
        </w:tc>
        <w:tc>
          <w:tcPr>
            <w:tcW w:w="899" w:type="dxa"/>
            <w:vMerge w:val="restart"/>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250</w:t>
            </w:r>
          </w:p>
        </w:tc>
        <w:tc>
          <w:tcPr>
            <w:tcW w:w="1419"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sz w:val="24"/>
                <w:szCs w:val="24"/>
                <w:lang w:val="zh-CN"/>
              </w:rPr>
              <w:t>发生安全生产责任事故致人死亡或道路交通同责以上亡人事故</w:t>
            </w:r>
          </w:p>
        </w:tc>
        <w:tc>
          <w:tcPr>
            <w:tcW w:w="991"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100分</w:t>
            </w:r>
          </w:p>
        </w:tc>
        <w:tc>
          <w:tcPr>
            <w:tcW w:w="2837"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bCs/>
                <w:sz w:val="24"/>
                <w:szCs w:val="24"/>
              </w:rPr>
              <w:t>发生一次死亡1人及以上安全生产责任事故或道路交通同等及以上责任事故的，每发生一次扣50分，扣完为止。瞒报事故信息的（超过7天未上报，视作瞒报），100分扣完。</w:t>
            </w:r>
          </w:p>
        </w:tc>
        <w:tc>
          <w:tcPr>
            <w:tcW w:w="1332"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行业内部</w:t>
            </w:r>
          </w:p>
          <w:p>
            <w:pPr>
              <w:overflowPunct w:val="0"/>
              <w:contextualSpacing/>
              <w:jc w:val="center"/>
              <w:rPr>
                <w:rFonts w:hint="eastAsia" w:ascii="仿宋_GB2312"/>
                <w:sz w:val="24"/>
                <w:szCs w:val="24"/>
              </w:rPr>
            </w:pPr>
            <w:r>
              <w:rPr>
                <w:rFonts w:hint="eastAsia" w:ascii="仿宋_GB2312"/>
                <w:bCs/>
                <w:sz w:val="24"/>
                <w:szCs w:val="24"/>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9</w:t>
            </w:r>
          </w:p>
        </w:tc>
        <w:tc>
          <w:tcPr>
            <w:tcW w:w="628" w:type="dxa"/>
            <w:vMerge w:val="continue"/>
            <w:noWrap w:val="0"/>
            <w:tcMar>
              <w:top w:w="57" w:type="dxa"/>
              <w:bottom w:w="57" w:type="dxa"/>
            </w:tcMar>
            <w:vAlign w:val="center"/>
          </w:tcPr>
          <w:p>
            <w:pPr>
              <w:overflowPunct w:val="0"/>
              <w:contextualSpacing/>
              <w:jc w:val="center"/>
              <w:rPr>
                <w:rFonts w:hint="eastAsia" w:ascii="仿宋_GB2312"/>
                <w:bCs/>
                <w:sz w:val="24"/>
                <w:szCs w:val="24"/>
              </w:rPr>
            </w:pPr>
          </w:p>
        </w:tc>
        <w:tc>
          <w:tcPr>
            <w:tcW w:w="899" w:type="dxa"/>
            <w:vMerge w:val="continue"/>
            <w:noWrap w:val="0"/>
            <w:tcMar>
              <w:top w:w="57" w:type="dxa"/>
              <w:bottom w:w="57" w:type="dxa"/>
            </w:tcMar>
            <w:vAlign w:val="center"/>
          </w:tcPr>
          <w:p>
            <w:pPr>
              <w:overflowPunct w:val="0"/>
              <w:contextualSpacing/>
              <w:jc w:val="center"/>
              <w:rPr>
                <w:rFonts w:hint="eastAsia" w:ascii="仿宋_GB2312"/>
                <w:bCs/>
                <w:sz w:val="24"/>
                <w:szCs w:val="24"/>
              </w:rPr>
            </w:pPr>
          </w:p>
        </w:tc>
        <w:tc>
          <w:tcPr>
            <w:tcW w:w="1419"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bCs/>
                <w:sz w:val="24"/>
                <w:szCs w:val="24"/>
              </w:rPr>
              <w:t>被停业整顿</w:t>
            </w:r>
          </w:p>
        </w:tc>
        <w:tc>
          <w:tcPr>
            <w:tcW w:w="991"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250</w:t>
            </w:r>
          </w:p>
        </w:tc>
        <w:tc>
          <w:tcPr>
            <w:tcW w:w="2837"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bCs/>
                <w:sz w:val="24"/>
                <w:szCs w:val="24"/>
              </w:rPr>
              <w:t>因存在严重安全隐患，被勒令停业整顿的，每发生一次扣100分，扣完为止。</w:t>
            </w:r>
          </w:p>
        </w:tc>
        <w:tc>
          <w:tcPr>
            <w:tcW w:w="1332"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bCs/>
                <w:sz w:val="24"/>
                <w:szCs w:val="24"/>
              </w:rPr>
            </w:pPr>
            <w:r>
              <w:rPr>
                <w:rFonts w:hint="eastAsia" w:ascii="仿宋_GB2312"/>
                <w:sz w:val="24"/>
                <w:szCs w:val="24"/>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10</w:t>
            </w:r>
          </w:p>
        </w:tc>
        <w:tc>
          <w:tcPr>
            <w:tcW w:w="628"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公共信用</w:t>
            </w:r>
          </w:p>
        </w:tc>
        <w:tc>
          <w:tcPr>
            <w:tcW w:w="89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150</w:t>
            </w:r>
          </w:p>
        </w:tc>
        <w:tc>
          <w:tcPr>
            <w:tcW w:w="141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w:t>
            </w:r>
          </w:p>
        </w:tc>
        <w:tc>
          <w:tcPr>
            <w:tcW w:w="991"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w:t>
            </w:r>
          </w:p>
        </w:tc>
        <w:tc>
          <w:tcPr>
            <w:tcW w:w="2837"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bCs/>
                <w:sz w:val="24"/>
                <w:szCs w:val="24"/>
              </w:rPr>
              <w:t>根据省信用办提供的企业公共信用分值按比例进行换算。</w:t>
            </w:r>
          </w:p>
        </w:tc>
        <w:tc>
          <w:tcPr>
            <w:tcW w:w="1332"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省大数据局数据共享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11</w:t>
            </w:r>
          </w:p>
        </w:tc>
        <w:tc>
          <w:tcPr>
            <w:tcW w:w="628" w:type="dxa"/>
            <w:vMerge w:val="restart"/>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加</w:t>
            </w:r>
          </w:p>
          <w:p>
            <w:pPr>
              <w:overflowPunct w:val="0"/>
              <w:contextualSpacing/>
              <w:jc w:val="center"/>
              <w:rPr>
                <w:rFonts w:hint="eastAsia" w:ascii="仿宋_GB2312"/>
                <w:bCs/>
                <w:sz w:val="24"/>
                <w:szCs w:val="24"/>
              </w:rPr>
            </w:pPr>
            <w:r>
              <w:rPr>
                <w:rFonts w:hint="eastAsia" w:ascii="仿宋_GB2312"/>
                <w:bCs/>
                <w:sz w:val="24"/>
                <w:szCs w:val="24"/>
              </w:rPr>
              <w:t>分</w:t>
            </w:r>
          </w:p>
          <w:p>
            <w:pPr>
              <w:overflowPunct w:val="0"/>
              <w:contextualSpacing/>
              <w:jc w:val="center"/>
              <w:rPr>
                <w:rFonts w:hint="eastAsia" w:ascii="仿宋_GB2312"/>
                <w:bCs/>
                <w:sz w:val="24"/>
                <w:szCs w:val="24"/>
              </w:rPr>
            </w:pPr>
            <w:r>
              <w:rPr>
                <w:rFonts w:hint="eastAsia" w:ascii="仿宋_GB2312"/>
                <w:bCs/>
                <w:sz w:val="24"/>
                <w:szCs w:val="24"/>
              </w:rPr>
              <w:t>项</w:t>
            </w:r>
          </w:p>
        </w:tc>
        <w:tc>
          <w:tcPr>
            <w:tcW w:w="899" w:type="dxa"/>
            <w:vMerge w:val="restart"/>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100</w:t>
            </w:r>
          </w:p>
        </w:tc>
        <w:tc>
          <w:tcPr>
            <w:tcW w:w="141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获得市厅级以上荣誉称号情况</w:t>
            </w:r>
          </w:p>
        </w:tc>
        <w:tc>
          <w:tcPr>
            <w:tcW w:w="991"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837" w:type="dxa"/>
            <w:noWrap w:val="0"/>
            <w:tcMar>
              <w:top w:w="57" w:type="dxa"/>
              <w:bottom w:w="57" w:type="dxa"/>
            </w:tcMar>
            <w:vAlign w:val="center"/>
          </w:tcPr>
          <w:p>
            <w:pPr>
              <w:tabs>
                <w:tab w:val="left" w:pos="633"/>
              </w:tabs>
              <w:overflowPunct w:val="0"/>
              <w:contextualSpacing/>
              <w:rPr>
                <w:rFonts w:hint="eastAsia" w:ascii="仿宋_GB2312"/>
                <w:sz w:val="24"/>
                <w:szCs w:val="24"/>
              </w:rPr>
            </w:pPr>
            <w:r>
              <w:rPr>
                <w:rFonts w:hint="eastAsia" w:ascii="仿宋_GB2312"/>
                <w:sz w:val="24"/>
                <w:szCs w:val="24"/>
              </w:rPr>
              <w:t>获得市厅级以上单位（不含下设机构）授予的在评优创先、安全生产、文明服务、精神文明建设方面的集体荣誉称号的，加20分。</w:t>
            </w:r>
          </w:p>
        </w:tc>
        <w:tc>
          <w:tcPr>
            <w:tcW w:w="1332"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12</w:t>
            </w:r>
          </w:p>
        </w:tc>
        <w:tc>
          <w:tcPr>
            <w:tcW w:w="628" w:type="dxa"/>
            <w:vMerge w:val="continue"/>
            <w:noWrap w:val="0"/>
            <w:tcMar>
              <w:top w:w="57" w:type="dxa"/>
              <w:bottom w:w="57" w:type="dxa"/>
            </w:tcMar>
            <w:vAlign w:val="center"/>
          </w:tcPr>
          <w:p>
            <w:pPr>
              <w:overflowPunct w:val="0"/>
              <w:contextualSpacing/>
              <w:jc w:val="center"/>
              <w:rPr>
                <w:rFonts w:hint="eastAsia" w:ascii="仿宋_GB2312"/>
                <w:bCs/>
                <w:sz w:val="24"/>
                <w:szCs w:val="24"/>
              </w:rPr>
            </w:pPr>
          </w:p>
        </w:tc>
        <w:tc>
          <w:tcPr>
            <w:tcW w:w="899" w:type="dxa"/>
            <w:vMerge w:val="continue"/>
            <w:noWrap w:val="0"/>
            <w:tcMar>
              <w:top w:w="57" w:type="dxa"/>
              <w:bottom w:w="57" w:type="dxa"/>
            </w:tcMar>
            <w:vAlign w:val="center"/>
          </w:tcPr>
          <w:p>
            <w:pPr>
              <w:overflowPunct w:val="0"/>
              <w:contextualSpacing/>
              <w:jc w:val="center"/>
              <w:rPr>
                <w:rFonts w:hint="eastAsia" w:ascii="仿宋_GB2312"/>
                <w:bCs/>
                <w:sz w:val="24"/>
                <w:szCs w:val="24"/>
              </w:rPr>
            </w:pPr>
          </w:p>
        </w:tc>
        <w:tc>
          <w:tcPr>
            <w:tcW w:w="1419"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bCs/>
                <w:sz w:val="24"/>
                <w:szCs w:val="24"/>
              </w:rPr>
              <w:t>维修企业车主评价情况</w:t>
            </w:r>
          </w:p>
        </w:tc>
        <w:tc>
          <w:tcPr>
            <w:tcW w:w="991"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30</w:t>
            </w:r>
          </w:p>
        </w:tc>
        <w:tc>
          <w:tcPr>
            <w:tcW w:w="2837"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bCs/>
                <w:sz w:val="24"/>
                <w:szCs w:val="24"/>
              </w:rPr>
              <w:t>电子健康档案系统维修企业车主评价参评率达60%以上且五星评价率达90%以上的，加30分。</w:t>
            </w:r>
          </w:p>
        </w:tc>
        <w:tc>
          <w:tcPr>
            <w:tcW w:w="1332"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行业内部</w:t>
            </w:r>
          </w:p>
          <w:p>
            <w:pPr>
              <w:overflowPunct w:val="0"/>
              <w:contextualSpacing/>
              <w:jc w:val="center"/>
              <w:rPr>
                <w:rFonts w:hint="eastAsia" w:ascii="仿宋_GB2312"/>
                <w:bCs/>
                <w:sz w:val="24"/>
                <w:szCs w:val="24"/>
              </w:rPr>
            </w:pPr>
            <w:r>
              <w:rPr>
                <w:rFonts w:hint="eastAsia" w:ascii="仿宋_GB2312"/>
                <w:bCs/>
                <w:sz w:val="24"/>
                <w:szCs w:val="24"/>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39"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13</w:t>
            </w:r>
          </w:p>
        </w:tc>
        <w:tc>
          <w:tcPr>
            <w:tcW w:w="628" w:type="dxa"/>
            <w:vMerge w:val="continue"/>
            <w:noWrap w:val="0"/>
            <w:tcMar>
              <w:top w:w="57" w:type="dxa"/>
              <w:bottom w:w="57" w:type="dxa"/>
            </w:tcMar>
            <w:vAlign w:val="center"/>
          </w:tcPr>
          <w:p>
            <w:pPr>
              <w:overflowPunct w:val="0"/>
              <w:contextualSpacing/>
              <w:jc w:val="center"/>
              <w:rPr>
                <w:rFonts w:hint="eastAsia" w:ascii="仿宋_GB2312"/>
                <w:bCs/>
                <w:sz w:val="24"/>
                <w:szCs w:val="24"/>
              </w:rPr>
            </w:pPr>
          </w:p>
        </w:tc>
        <w:tc>
          <w:tcPr>
            <w:tcW w:w="899" w:type="dxa"/>
            <w:vMerge w:val="continue"/>
            <w:noWrap w:val="0"/>
            <w:tcMar>
              <w:top w:w="57" w:type="dxa"/>
              <w:bottom w:w="57" w:type="dxa"/>
            </w:tcMar>
            <w:vAlign w:val="center"/>
          </w:tcPr>
          <w:p>
            <w:pPr>
              <w:overflowPunct w:val="0"/>
              <w:contextualSpacing/>
              <w:jc w:val="center"/>
              <w:rPr>
                <w:rFonts w:hint="eastAsia" w:ascii="仿宋_GB2312"/>
                <w:bCs/>
                <w:sz w:val="24"/>
                <w:szCs w:val="24"/>
              </w:rPr>
            </w:pPr>
          </w:p>
        </w:tc>
        <w:tc>
          <w:tcPr>
            <w:tcW w:w="1419"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991"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70</w:t>
            </w:r>
          </w:p>
        </w:tc>
        <w:tc>
          <w:tcPr>
            <w:tcW w:w="2837" w:type="dxa"/>
            <w:noWrap w:val="0"/>
            <w:tcMar>
              <w:top w:w="57" w:type="dxa"/>
              <w:bottom w:w="57" w:type="dxa"/>
            </w:tcMar>
            <w:vAlign w:val="center"/>
          </w:tcPr>
          <w:p>
            <w:pPr>
              <w:overflowPunct w:val="0"/>
              <w:contextualSpacing/>
              <w:rPr>
                <w:rFonts w:hint="eastAsia" w:ascii="仿宋_GB2312"/>
                <w:bCs/>
                <w:sz w:val="24"/>
                <w:szCs w:val="24"/>
              </w:rPr>
            </w:pPr>
            <w:r>
              <w:rPr>
                <w:rFonts w:hint="eastAsia" w:ascii="仿宋_GB2312"/>
                <w:sz w:val="24"/>
                <w:szCs w:val="24"/>
                <w:lang w:val="zh-CN"/>
              </w:rPr>
              <w:t>配合处置突发事件、参与应急抢险、自然灾害救援的，1次加10分，加满为止。</w:t>
            </w:r>
          </w:p>
        </w:tc>
        <w:tc>
          <w:tcPr>
            <w:tcW w:w="1332" w:type="dxa"/>
            <w:noWrap w:val="0"/>
            <w:tcMar>
              <w:top w:w="57" w:type="dxa"/>
              <w:bottom w:w="57" w:type="dxa"/>
            </w:tcMar>
            <w:vAlign w:val="center"/>
          </w:tcPr>
          <w:p>
            <w:pPr>
              <w:overflowPunct w:val="0"/>
              <w:contextualSpacing/>
              <w:jc w:val="center"/>
              <w:rPr>
                <w:rFonts w:hint="eastAsia" w:ascii="仿宋_GB2312"/>
                <w:bCs/>
                <w:sz w:val="24"/>
                <w:szCs w:val="24"/>
              </w:rPr>
            </w:pPr>
            <w:r>
              <w:rPr>
                <w:rFonts w:hint="eastAsia" w:ascii="仿宋_GB2312"/>
                <w:bCs/>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13" w:type="dxa"/>
            <w:gridSpan w:val="6"/>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凡发生以下行为之一的，本年度信用分直接扣500分：</w:t>
            </w:r>
          </w:p>
          <w:p>
            <w:pPr>
              <w:overflowPunct w:val="0"/>
              <w:contextualSpacing/>
              <w:rPr>
                <w:rFonts w:hint="eastAsia" w:ascii="仿宋_GB2312"/>
                <w:sz w:val="24"/>
                <w:szCs w:val="24"/>
              </w:rPr>
            </w:pPr>
            <w:r>
              <w:rPr>
                <w:rFonts w:hint="eastAsia" w:ascii="仿宋_GB2312"/>
                <w:sz w:val="24"/>
                <w:szCs w:val="24"/>
              </w:rPr>
              <w:t>（一）机动车维修业户使用假冒伪劣配件维修机动车、承修已报废的机动车或者擅自改装机动车，或者签发虚假的机动车维修合格证，被交通运输管理机构中止或收回机动车维修经营备案表、责令停业整顿的；</w:t>
            </w:r>
          </w:p>
          <w:p>
            <w:pPr>
              <w:overflowPunct w:val="0"/>
              <w:contextualSpacing/>
              <w:rPr>
                <w:rFonts w:hint="eastAsia" w:ascii="仿宋_GB2312"/>
                <w:sz w:val="24"/>
                <w:szCs w:val="24"/>
              </w:rPr>
            </w:pPr>
            <w:r>
              <w:rPr>
                <w:rFonts w:hint="eastAsia" w:ascii="仿宋_GB2312"/>
                <w:sz w:val="24"/>
                <w:szCs w:val="24"/>
              </w:rPr>
              <w:t>（二）故意瞒报亡人安全责任事故信息的；</w:t>
            </w:r>
          </w:p>
          <w:p>
            <w:pPr>
              <w:overflowPunct w:val="0"/>
              <w:contextualSpacing/>
              <w:rPr>
                <w:rFonts w:hint="eastAsia" w:ascii="仿宋_GB2312"/>
                <w:sz w:val="24"/>
                <w:szCs w:val="24"/>
              </w:rPr>
            </w:pPr>
            <w:r>
              <w:rPr>
                <w:rFonts w:hint="eastAsia" w:ascii="仿宋_GB2312"/>
                <w:sz w:val="24"/>
                <w:szCs w:val="24"/>
              </w:rPr>
              <w:t>（三）组织煽动从业人员进行上访、罢工、闹事，引发群体性事件造成恶劣影响的。</w:t>
            </w:r>
          </w:p>
          <w:p>
            <w:pPr>
              <w:overflowPunct w:val="0"/>
              <w:contextualSpacing/>
              <w:rPr>
                <w:rFonts w:hint="eastAsia" w:ascii="仿宋_GB2312"/>
                <w:sz w:val="24"/>
                <w:szCs w:val="24"/>
              </w:rPr>
            </w:pPr>
            <w:r>
              <w:rPr>
                <w:rFonts w:hint="eastAsia" w:ascii="仿宋_GB2312"/>
                <w:sz w:val="24"/>
                <w:szCs w:val="24"/>
              </w:rPr>
              <w:t>凡发生《浙江省道路运输企业信用管理实施细则》第十二条行为之一的，本年度信用分直接扣500分。</w:t>
            </w:r>
          </w:p>
        </w:tc>
        <w:tc>
          <w:tcPr>
            <w:tcW w:w="1332"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数据共享或手工录入</w:t>
            </w:r>
          </w:p>
        </w:tc>
      </w:tr>
    </w:tbl>
    <w:p>
      <w:pPr>
        <w:overflowPunct w:val="0"/>
        <w:spacing w:line="360" w:lineRule="exact"/>
        <w:ind w:firstLine="480" w:firstLineChars="200"/>
        <w:rPr>
          <w:rFonts w:hint="eastAsia" w:ascii="仿宋_GB2312"/>
          <w:sz w:val="24"/>
          <w:szCs w:val="28"/>
        </w:rPr>
      </w:pPr>
    </w:p>
    <w:p>
      <w:pPr>
        <w:overflowPunct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一、按照企业排序进行扣分的具体规则，按照此指标下的企业从低到高进行排名，不同排名扣除不同分值的方式</w:t>
      </w:r>
    </w:p>
    <w:p>
      <w:pPr>
        <w:overflowPunct w:val="0"/>
        <w:spacing w:line="360" w:lineRule="exact"/>
        <w:ind w:firstLine="480" w:firstLineChars="200"/>
        <w:rPr>
          <w:rFonts w:hint="eastAsia" w:ascii="仿宋_GB2312"/>
          <w:sz w:val="24"/>
          <w:szCs w:val="28"/>
        </w:rPr>
      </w:pPr>
      <w:r>
        <w:rPr>
          <w:rFonts w:hint="eastAsia" w:ascii="仿宋_GB2312"/>
          <w:sz w:val="24"/>
          <w:szCs w:val="28"/>
        </w:rPr>
        <w:t>1. 首先将企业按照指标数据从小到大排序；</w:t>
      </w:r>
    </w:p>
    <w:p>
      <w:pPr>
        <w:overflowPunct w:val="0"/>
        <w:spacing w:line="360" w:lineRule="exact"/>
        <w:ind w:firstLine="480" w:firstLineChars="200"/>
        <w:rPr>
          <w:rFonts w:hint="eastAsia" w:ascii="仿宋_GB2312"/>
          <w:sz w:val="24"/>
          <w:szCs w:val="28"/>
        </w:rPr>
      </w:pPr>
      <w:r>
        <w:rPr>
          <w:rFonts w:hint="eastAsia" w:ascii="仿宋_GB2312"/>
          <w:sz w:val="24"/>
          <w:szCs w:val="28"/>
        </w:rPr>
        <w:t>2. 按照排序好的企业，计算该企业在总体企业中的位置，例如处于前20%的位置，就扣除该指标分值*0.2的分数（二级指标为10分，扣除分数为10*0.2=2分）。</w:t>
      </w:r>
    </w:p>
    <w:p>
      <w:pPr>
        <w:overflowPunct w:val="0"/>
        <w:spacing w:line="360" w:lineRule="exact"/>
        <w:ind w:firstLine="480" w:firstLineChars="200"/>
        <w:rPr>
          <w:rFonts w:hint="eastAsia" w:ascii="黑体" w:hAnsi="黑体" w:eastAsia="黑体"/>
          <w:sz w:val="24"/>
          <w:szCs w:val="28"/>
        </w:rPr>
      </w:pPr>
      <w:r>
        <w:rPr>
          <w:rFonts w:hint="eastAsia" w:ascii="黑体" w:hAnsi="黑体" w:eastAsia="黑体"/>
          <w:sz w:val="24"/>
          <w:szCs w:val="28"/>
        </w:rPr>
        <w:t>二、关于手工录入部分市、县分工说明</w:t>
      </w:r>
    </w:p>
    <w:p>
      <w:pPr>
        <w:overflowPunct w:val="0"/>
        <w:spacing w:line="36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除被媒体曝光负面事件由市级交通运输部门负责外，其他手工录入数据按照信息来源，由市、县分别录入。具体说明如下：</w:t>
      </w:r>
    </w:p>
    <w:p>
      <w:pPr>
        <w:overflowPunct w:val="0"/>
        <w:spacing w:line="360" w:lineRule="exact"/>
        <w:ind w:firstLine="480" w:firstLineChars="200"/>
        <w:rPr>
          <w:rFonts w:hint="eastAsia" w:ascii="仿宋_GB2312"/>
          <w:sz w:val="24"/>
          <w:szCs w:val="28"/>
        </w:rPr>
      </w:pPr>
      <w:r>
        <w:rPr>
          <w:rFonts w:hint="eastAsia" w:ascii="仿宋_GB2312"/>
          <w:sz w:val="24"/>
          <w:szCs w:val="28"/>
        </w:rPr>
        <w:t>1. 获得市厅级以上荣誉称号、被市级12345/12328投诉信息、停业整顿、发生恶劣群体性事件、红黑名单认定行为的，由市级相关部门录入；由省级相关部门录入；</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2. 被县级12345/12328投诉信息、事故相关信息、维修企业车主评价情况、参与应急救援等信息的，由县级相关部门录入。</w:t>
      </w:r>
    </w:p>
    <w:p>
      <w:pPr>
        <w:overflowPunct w:val="0"/>
        <w:spacing w:line="580" w:lineRule="exact"/>
        <w:rPr>
          <w:rFonts w:hAnsi="黑体" w:eastAsia="黑体"/>
          <w:szCs w:val="32"/>
        </w:rPr>
      </w:pPr>
      <w:r>
        <w:rPr>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8</w:t>
      </w:r>
    </w:p>
    <w:p>
      <w:pPr>
        <w:overflowPunct w:val="0"/>
        <w:spacing w:line="580" w:lineRule="exact"/>
        <w:ind w:firstLine="640" w:firstLineChars="200"/>
        <w:rPr>
          <w:szCs w:val="32"/>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道路客运站（场）信用评价标准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44"/>
        <w:gridCol w:w="628"/>
        <w:gridCol w:w="897"/>
        <w:gridCol w:w="1612"/>
        <w:gridCol w:w="885"/>
        <w:gridCol w:w="2749"/>
        <w:gridCol w:w="1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4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2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897"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61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88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74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3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28" w:type="dxa"/>
            <w:vMerge w:val="restart"/>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897" w:type="dxa"/>
            <w:vMerge w:val="restart"/>
            <w:noWrap w:val="0"/>
            <w:tcMar>
              <w:top w:w="17" w:type="dxa"/>
              <w:bottom w:w="17" w:type="dxa"/>
            </w:tcMar>
            <w:vAlign w:val="center"/>
          </w:tcPr>
          <w:p>
            <w:pPr>
              <w:overflowPunct w:val="0"/>
              <w:contextualSpacing/>
              <w:jc w:val="center"/>
              <w:rPr>
                <w:rFonts w:hint="eastAsia" w:ascii="仿宋_GB2312"/>
                <w:bCs/>
                <w:sz w:val="24"/>
                <w:szCs w:val="24"/>
              </w:rPr>
            </w:pPr>
            <w:r>
              <w:rPr>
                <w:rFonts w:hint="eastAsia" w:ascii="仿宋_GB2312"/>
                <w:bCs/>
                <w:sz w:val="24"/>
                <w:szCs w:val="24"/>
              </w:rPr>
              <w:t>150</w:t>
            </w: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信用承诺履行情况</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28"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897"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联网售票执行情况</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联网售票工作配合不力的，未按要求在网上售票系统提供票源的每次扣10分，扣完为止。</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28"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897"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班车停发班管理情况</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对无故停班达3日以上的进站班车不予通报的，每次扣10分，扣完为止。</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28"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市场信用</w:t>
            </w:r>
          </w:p>
        </w:tc>
        <w:tc>
          <w:tcPr>
            <w:tcW w:w="897"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被交通运输部门行政处罚情况</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每次扣50分，扣完为止。</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28" w:type="dxa"/>
            <w:vMerge w:val="restart"/>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服务信用</w:t>
            </w:r>
          </w:p>
        </w:tc>
        <w:tc>
          <w:tcPr>
            <w:tcW w:w="897" w:type="dxa"/>
            <w:vMerge w:val="restart"/>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300</w:t>
            </w: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站内标识设置、卫生和安全告知等情况</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120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站内引导等标识不清晰，每次扣10分；发现卫生情况不佳，每扣10分；候车室未播放安全告知录像或文字，每次扣30分，扣完为止。</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28"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897"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被媒体曝光负面事件情况</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60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被新闻媒体曝光的，每次扣30分，情节特别恶劣的，扣60分，扣完为止。</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28"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897" w:type="dxa"/>
            <w:vMerge w:val="continue"/>
            <w:noWrap w:val="0"/>
            <w:tcMar>
              <w:top w:w="17" w:type="dxa"/>
              <w:bottom w:w="17" w:type="dxa"/>
            </w:tcMar>
            <w:vAlign w:val="center"/>
          </w:tcPr>
          <w:p>
            <w:pPr>
              <w:overflowPunct w:val="0"/>
              <w:contextualSpacing/>
              <w:jc w:val="center"/>
              <w:rPr>
                <w:rFonts w:hint="eastAsia" w:ascii="仿宋_GB2312"/>
                <w:sz w:val="24"/>
                <w:szCs w:val="24"/>
              </w:rPr>
            </w:pP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被投诉案件情况</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120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被投诉及社会监督组织发现问题且属实的，扣30分，扣完为止。</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28"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897"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612"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执法检查综合赋分</w:t>
            </w:r>
          </w:p>
        </w:tc>
        <w:tc>
          <w:tcPr>
            <w:tcW w:w="885"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2749" w:type="dxa"/>
            <w:noWrap w:val="0"/>
            <w:tcMar>
              <w:top w:w="17" w:type="dxa"/>
              <w:bottom w:w="17" w:type="dxa"/>
            </w:tcMar>
            <w:vAlign w:val="center"/>
          </w:tcPr>
          <w:p>
            <w:pPr>
              <w:overflowPunct w:val="0"/>
              <w:contextualSpacing/>
              <w:rPr>
                <w:rFonts w:hint="eastAsia" w:ascii="仿宋_GB2312"/>
                <w:sz w:val="24"/>
                <w:szCs w:val="24"/>
              </w:rPr>
            </w:pPr>
            <w:r>
              <w:rPr>
                <w:rFonts w:hint="eastAsia" w:ascii="仿宋_GB2312"/>
                <w:sz w:val="24"/>
                <w:szCs w:val="24"/>
              </w:rPr>
              <w:t>针对消防安全、实名登记和行包安检等反恐安全、进出站安全等进行检查综合得分，按照相关检查发现问题，每发现1处扣分10分，扣完为止。</w:t>
            </w:r>
          </w:p>
        </w:tc>
        <w:tc>
          <w:tcPr>
            <w:tcW w:w="1330" w:type="dxa"/>
            <w:noWrap w:val="0"/>
            <w:tcMar>
              <w:top w:w="17" w:type="dxa"/>
              <w:bottom w:w="17"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628"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897"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612" w:type="dxa"/>
            <w:noWrap w:val="0"/>
            <w:vAlign w:val="center"/>
          </w:tcPr>
          <w:p>
            <w:pPr>
              <w:overflowPunct w:val="0"/>
              <w:contextualSpacing/>
              <w:rPr>
                <w:rFonts w:hint="eastAsia" w:ascii="仿宋_GB2312"/>
                <w:sz w:val="24"/>
                <w:szCs w:val="24"/>
              </w:rPr>
            </w:pPr>
            <w:r>
              <w:rPr>
                <w:rFonts w:hint="eastAsia" w:ascii="仿宋_GB2312"/>
                <w:sz w:val="24"/>
                <w:szCs w:val="24"/>
              </w:rPr>
              <w:t>安全暗查发现隐患等情况</w:t>
            </w:r>
          </w:p>
        </w:tc>
        <w:tc>
          <w:tcPr>
            <w:tcW w:w="885" w:type="dxa"/>
            <w:noWrap w:val="0"/>
            <w:vAlign w:val="center"/>
          </w:tcPr>
          <w:p>
            <w:pPr>
              <w:overflowPunct w:val="0"/>
              <w:contextualSpacing/>
              <w:jc w:val="center"/>
              <w:rPr>
                <w:rFonts w:hint="eastAsia" w:ascii="仿宋_GB2312"/>
                <w:sz w:val="24"/>
                <w:szCs w:val="24"/>
              </w:rPr>
            </w:pPr>
            <w:r>
              <w:rPr>
                <w:rFonts w:hint="eastAsia" w:ascii="仿宋_GB2312"/>
                <w:sz w:val="24"/>
                <w:szCs w:val="24"/>
              </w:rPr>
              <w:t>60</w:t>
            </w:r>
          </w:p>
        </w:tc>
        <w:tc>
          <w:tcPr>
            <w:tcW w:w="2749" w:type="dxa"/>
            <w:noWrap w:val="0"/>
            <w:vAlign w:val="center"/>
          </w:tcPr>
          <w:p>
            <w:pPr>
              <w:overflowPunct w:val="0"/>
              <w:contextualSpacing/>
              <w:rPr>
                <w:rFonts w:hint="eastAsia" w:ascii="仿宋_GB2312"/>
                <w:sz w:val="24"/>
                <w:szCs w:val="24"/>
              </w:rPr>
            </w:pPr>
            <w:r>
              <w:rPr>
                <w:rFonts w:hint="eastAsia" w:ascii="仿宋_GB2312"/>
                <w:sz w:val="24"/>
                <w:szCs w:val="24"/>
              </w:rPr>
              <w:t>省市组织站场安全暗查发现隐患，按未落实要求，每处扣5分，扣完为止。</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628" w:type="dxa"/>
            <w:vMerge w:val="continue"/>
            <w:noWrap w:val="0"/>
            <w:vAlign w:val="center"/>
          </w:tcPr>
          <w:p>
            <w:pPr>
              <w:overflowPunct w:val="0"/>
              <w:contextualSpacing/>
              <w:jc w:val="center"/>
              <w:rPr>
                <w:rFonts w:hint="eastAsia" w:ascii="仿宋_GB2312"/>
                <w:sz w:val="24"/>
                <w:szCs w:val="24"/>
              </w:rPr>
            </w:pPr>
          </w:p>
        </w:tc>
        <w:tc>
          <w:tcPr>
            <w:tcW w:w="897" w:type="dxa"/>
            <w:vMerge w:val="continue"/>
            <w:noWrap w:val="0"/>
            <w:vAlign w:val="center"/>
          </w:tcPr>
          <w:p>
            <w:pPr>
              <w:overflowPunct w:val="0"/>
              <w:contextualSpacing/>
              <w:jc w:val="center"/>
              <w:rPr>
                <w:rFonts w:hint="eastAsia" w:ascii="仿宋_GB2312"/>
                <w:sz w:val="24"/>
                <w:szCs w:val="24"/>
              </w:rPr>
            </w:pPr>
          </w:p>
        </w:tc>
        <w:tc>
          <w:tcPr>
            <w:tcW w:w="1612" w:type="dxa"/>
            <w:noWrap w:val="0"/>
            <w:vAlign w:val="center"/>
          </w:tcPr>
          <w:p>
            <w:pPr>
              <w:overflowPunct w:val="0"/>
              <w:contextualSpacing/>
              <w:rPr>
                <w:rFonts w:hint="eastAsia" w:ascii="仿宋_GB2312"/>
                <w:sz w:val="24"/>
                <w:szCs w:val="24"/>
              </w:rPr>
            </w:pPr>
            <w:r>
              <w:rPr>
                <w:rFonts w:hint="eastAsia" w:ascii="仿宋_GB2312"/>
                <w:sz w:val="24"/>
                <w:szCs w:val="24"/>
              </w:rPr>
              <w:t>站务数据按要求接入情况</w:t>
            </w:r>
          </w:p>
        </w:tc>
        <w:tc>
          <w:tcPr>
            <w:tcW w:w="885" w:type="dxa"/>
            <w:noWrap w:val="0"/>
            <w:vAlign w:val="center"/>
          </w:tcPr>
          <w:p>
            <w:pPr>
              <w:overflowPunct w:val="0"/>
              <w:contextualSpacing/>
              <w:jc w:val="center"/>
              <w:rPr>
                <w:rFonts w:hint="eastAsia" w:ascii="仿宋_GB2312"/>
                <w:sz w:val="24"/>
                <w:szCs w:val="24"/>
              </w:rPr>
            </w:pPr>
            <w:r>
              <w:rPr>
                <w:rFonts w:hint="eastAsia" w:ascii="仿宋_GB2312"/>
                <w:sz w:val="24"/>
                <w:szCs w:val="24"/>
              </w:rPr>
              <w:t>80</w:t>
            </w:r>
          </w:p>
        </w:tc>
        <w:tc>
          <w:tcPr>
            <w:tcW w:w="2749" w:type="dxa"/>
            <w:noWrap w:val="0"/>
            <w:vAlign w:val="center"/>
          </w:tcPr>
          <w:p>
            <w:pPr>
              <w:overflowPunct w:val="0"/>
              <w:contextualSpacing/>
              <w:rPr>
                <w:rFonts w:hint="eastAsia" w:ascii="仿宋_GB2312"/>
                <w:sz w:val="24"/>
                <w:szCs w:val="24"/>
              </w:rPr>
            </w:pPr>
            <w:r>
              <w:rPr>
                <w:rFonts w:hint="eastAsia" w:ascii="仿宋_GB2312"/>
                <w:sz w:val="24"/>
                <w:szCs w:val="24"/>
              </w:rPr>
              <w:t>未按规定接入省客运监测监管系统扣80分，存在接入数据质量等问题扣40分。</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 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628" w:type="dxa"/>
            <w:vMerge w:val="continue"/>
            <w:noWrap w:val="0"/>
            <w:vAlign w:val="center"/>
          </w:tcPr>
          <w:p>
            <w:pPr>
              <w:overflowPunct w:val="0"/>
              <w:contextualSpacing/>
              <w:jc w:val="center"/>
              <w:rPr>
                <w:rFonts w:hint="eastAsia" w:ascii="仿宋_GB2312"/>
                <w:sz w:val="24"/>
                <w:szCs w:val="24"/>
              </w:rPr>
            </w:pPr>
          </w:p>
        </w:tc>
        <w:tc>
          <w:tcPr>
            <w:tcW w:w="897" w:type="dxa"/>
            <w:vMerge w:val="continue"/>
            <w:noWrap w:val="0"/>
            <w:vAlign w:val="center"/>
          </w:tcPr>
          <w:p>
            <w:pPr>
              <w:overflowPunct w:val="0"/>
              <w:contextualSpacing/>
              <w:jc w:val="center"/>
              <w:rPr>
                <w:rFonts w:hint="eastAsia" w:ascii="仿宋_GB2312"/>
                <w:sz w:val="24"/>
                <w:szCs w:val="24"/>
              </w:rPr>
            </w:pPr>
          </w:p>
        </w:tc>
        <w:tc>
          <w:tcPr>
            <w:tcW w:w="1612" w:type="dxa"/>
            <w:noWrap w:val="0"/>
            <w:vAlign w:val="center"/>
          </w:tcPr>
          <w:p>
            <w:pPr>
              <w:overflowPunct w:val="0"/>
              <w:contextualSpacing/>
              <w:rPr>
                <w:rFonts w:hint="eastAsia" w:ascii="仿宋_GB2312"/>
                <w:sz w:val="24"/>
                <w:szCs w:val="24"/>
              </w:rPr>
            </w:pPr>
            <w:r>
              <w:rPr>
                <w:rFonts w:hint="eastAsia" w:ascii="仿宋_GB2312"/>
                <w:sz w:val="24"/>
                <w:szCs w:val="24"/>
              </w:rPr>
              <w:t>进站车辆管控情况</w:t>
            </w:r>
          </w:p>
        </w:tc>
        <w:tc>
          <w:tcPr>
            <w:tcW w:w="885" w:type="dxa"/>
            <w:noWrap w:val="0"/>
            <w:vAlign w:val="center"/>
          </w:tcPr>
          <w:p>
            <w:pPr>
              <w:overflowPunct w:val="0"/>
              <w:contextualSpacing/>
              <w:jc w:val="center"/>
              <w:rPr>
                <w:rFonts w:hint="eastAsia" w:ascii="仿宋_GB2312"/>
                <w:sz w:val="24"/>
                <w:szCs w:val="24"/>
              </w:rPr>
            </w:pPr>
            <w:r>
              <w:rPr>
                <w:rFonts w:hint="eastAsia" w:ascii="仿宋_GB2312"/>
                <w:sz w:val="24"/>
                <w:szCs w:val="24"/>
              </w:rPr>
              <w:t>60</w:t>
            </w:r>
          </w:p>
        </w:tc>
        <w:tc>
          <w:tcPr>
            <w:tcW w:w="2749" w:type="dxa"/>
            <w:noWrap w:val="0"/>
            <w:vAlign w:val="center"/>
          </w:tcPr>
          <w:p>
            <w:pPr>
              <w:overflowPunct w:val="0"/>
              <w:contextualSpacing/>
              <w:rPr>
                <w:rFonts w:hint="eastAsia" w:ascii="仿宋_GB2312"/>
                <w:sz w:val="24"/>
                <w:szCs w:val="24"/>
              </w:rPr>
            </w:pPr>
            <w:r>
              <w:rPr>
                <w:rFonts w:hint="eastAsia" w:ascii="仿宋_GB2312"/>
                <w:sz w:val="24"/>
                <w:szCs w:val="24"/>
              </w:rPr>
              <w:t>未对进站车辆维护进站协议，进站管控不到位，出现投诉等，缺一辆车进站协议扣4分，扣完为止；出现管控不力，每次扣30分。</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 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628" w:type="dxa"/>
            <w:vMerge w:val="continue"/>
            <w:noWrap w:val="0"/>
            <w:vAlign w:val="center"/>
          </w:tcPr>
          <w:p>
            <w:pPr>
              <w:overflowPunct w:val="0"/>
              <w:contextualSpacing/>
              <w:jc w:val="center"/>
              <w:rPr>
                <w:rFonts w:hint="eastAsia" w:ascii="仿宋_GB2312"/>
                <w:sz w:val="24"/>
                <w:szCs w:val="24"/>
              </w:rPr>
            </w:pPr>
          </w:p>
        </w:tc>
        <w:tc>
          <w:tcPr>
            <w:tcW w:w="897" w:type="dxa"/>
            <w:vMerge w:val="continue"/>
            <w:noWrap w:val="0"/>
            <w:vAlign w:val="center"/>
          </w:tcPr>
          <w:p>
            <w:pPr>
              <w:overflowPunct w:val="0"/>
              <w:contextualSpacing/>
              <w:jc w:val="center"/>
              <w:rPr>
                <w:rFonts w:hint="eastAsia" w:ascii="仿宋_GB2312"/>
                <w:sz w:val="24"/>
                <w:szCs w:val="24"/>
              </w:rPr>
            </w:pPr>
          </w:p>
        </w:tc>
        <w:tc>
          <w:tcPr>
            <w:tcW w:w="1612" w:type="dxa"/>
            <w:noWrap w:val="0"/>
            <w:vAlign w:val="center"/>
          </w:tcPr>
          <w:p>
            <w:pPr>
              <w:overflowPunct w:val="0"/>
              <w:contextualSpacing/>
              <w:rPr>
                <w:rFonts w:hint="eastAsia" w:ascii="仿宋_GB2312"/>
                <w:sz w:val="24"/>
                <w:szCs w:val="24"/>
              </w:rPr>
            </w:pPr>
            <w:r>
              <w:rPr>
                <w:rFonts w:hint="eastAsia" w:ascii="仿宋_GB2312"/>
                <w:sz w:val="24"/>
                <w:szCs w:val="24"/>
              </w:rPr>
              <w:t>停业整顿情况</w:t>
            </w:r>
          </w:p>
        </w:tc>
        <w:tc>
          <w:tcPr>
            <w:tcW w:w="885" w:type="dxa"/>
            <w:noWrap w:val="0"/>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2749" w:type="dxa"/>
            <w:noWrap w:val="0"/>
            <w:vAlign w:val="center"/>
          </w:tcPr>
          <w:p>
            <w:pPr>
              <w:overflowPunct w:val="0"/>
              <w:contextualSpacing/>
              <w:rPr>
                <w:rFonts w:hint="eastAsia" w:ascii="仿宋_GB2312"/>
                <w:sz w:val="24"/>
                <w:szCs w:val="24"/>
              </w:rPr>
            </w:pPr>
            <w:r>
              <w:rPr>
                <w:rFonts w:hint="eastAsia" w:ascii="仿宋_GB2312"/>
                <w:sz w:val="24"/>
                <w:szCs w:val="24"/>
              </w:rPr>
              <w:t>因存在严重安全隐患，被勒令停业整顿的，每发生一次扣100分，扣完为止。</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 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vAlign w:val="center"/>
          </w:tcPr>
          <w:p>
            <w:pPr>
              <w:overflowPunct w:val="0"/>
              <w:contextualSpacing/>
              <w:jc w:val="center"/>
              <w:rPr>
                <w:rFonts w:hint="eastAsia" w:ascii="仿宋_GB2312"/>
                <w:sz w:val="24"/>
                <w:szCs w:val="24"/>
              </w:rPr>
            </w:pPr>
            <w:r>
              <w:rPr>
                <w:rFonts w:hint="eastAsia" w:ascii="仿宋_GB2312"/>
                <w:sz w:val="24"/>
                <w:szCs w:val="24"/>
              </w:rPr>
              <w:t>13</w:t>
            </w:r>
          </w:p>
        </w:tc>
        <w:tc>
          <w:tcPr>
            <w:tcW w:w="628" w:type="dxa"/>
            <w:vMerge w:val="continue"/>
            <w:noWrap w:val="0"/>
            <w:vAlign w:val="center"/>
          </w:tcPr>
          <w:p>
            <w:pPr>
              <w:overflowPunct w:val="0"/>
              <w:contextualSpacing/>
              <w:jc w:val="center"/>
              <w:rPr>
                <w:rFonts w:hint="eastAsia" w:ascii="仿宋_GB2312"/>
                <w:sz w:val="24"/>
                <w:szCs w:val="24"/>
              </w:rPr>
            </w:pPr>
          </w:p>
        </w:tc>
        <w:tc>
          <w:tcPr>
            <w:tcW w:w="897" w:type="dxa"/>
            <w:vMerge w:val="continue"/>
            <w:noWrap w:val="0"/>
            <w:vAlign w:val="center"/>
          </w:tcPr>
          <w:p>
            <w:pPr>
              <w:overflowPunct w:val="0"/>
              <w:contextualSpacing/>
              <w:jc w:val="center"/>
              <w:rPr>
                <w:rFonts w:hint="eastAsia" w:ascii="仿宋_GB2312"/>
                <w:sz w:val="24"/>
                <w:szCs w:val="24"/>
              </w:rPr>
            </w:pPr>
          </w:p>
        </w:tc>
        <w:tc>
          <w:tcPr>
            <w:tcW w:w="1612" w:type="dxa"/>
            <w:noWrap w:val="0"/>
            <w:vAlign w:val="center"/>
          </w:tcPr>
          <w:p>
            <w:pPr>
              <w:overflowPunct w:val="0"/>
              <w:contextualSpacing/>
              <w:rPr>
                <w:rFonts w:hint="eastAsia" w:ascii="仿宋_GB2312"/>
                <w:sz w:val="24"/>
                <w:szCs w:val="24"/>
              </w:rPr>
            </w:pPr>
            <w:r>
              <w:rPr>
                <w:rFonts w:hint="eastAsia" w:ascii="仿宋_GB2312"/>
                <w:sz w:val="24"/>
                <w:szCs w:val="24"/>
                <w:lang w:val="zh-CN"/>
              </w:rPr>
              <w:t>发生安全生产责任事故致人死亡</w:t>
            </w:r>
          </w:p>
        </w:tc>
        <w:tc>
          <w:tcPr>
            <w:tcW w:w="885" w:type="dxa"/>
            <w:noWrap w:val="0"/>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2749" w:type="dxa"/>
            <w:noWrap w:val="0"/>
            <w:vAlign w:val="center"/>
          </w:tcPr>
          <w:p>
            <w:pPr>
              <w:overflowPunct w:val="0"/>
              <w:contextualSpacing/>
              <w:rPr>
                <w:rFonts w:hint="eastAsia" w:ascii="仿宋_GB2312"/>
                <w:sz w:val="24"/>
                <w:szCs w:val="24"/>
              </w:rPr>
            </w:pPr>
            <w:r>
              <w:rPr>
                <w:rFonts w:hint="eastAsia" w:ascii="仿宋_GB2312"/>
                <w:sz w:val="24"/>
                <w:szCs w:val="24"/>
              </w:rPr>
              <w:t>发生一次死亡1人及以上安全生产责任事故的，每发生一次扣400分，扣完为止。</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vAlign w:val="center"/>
          </w:tcPr>
          <w:p>
            <w:pPr>
              <w:overflowPunct w:val="0"/>
              <w:contextualSpacing/>
              <w:jc w:val="center"/>
              <w:rPr>
                <w:rFonts w:hint="eastAsia" w:ascii="仿宋_GB2312"/>
                <w:sz w:val="24"/>
                <w:szCs w:val="24"/>
              </w:rPr>
            </w:pPr>
            <w:r>
              <w:rPr>
                <w:rFonts w:hint="eastAsia" w:ascii="仿宋_GB2312"/>
                <w:sz w:val="24"/>
                <w:szCs w:val="24"/>
              </w:rPr>
              <w:t>14</w:t>
            </w:r>
          </w:p>
        </w:tc>
        <w:tc>
          <w:tcPr>
            <w:tcW w:w="628"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加</w:t>
            </w:r>
          </w:p>
          <w:p>
            <w:pPr>
              <w:overflowPunct w:val="0"/>
              <w:contextualSpacing/>
              <w:jc w:val="center"/>
              <w:rPr>
                <w:rFonts w:hint="eastAsia" w:ascii="仿宋_GB2312"/>
                <w:sz w:val="24"/>
                <w:szCs w:val="24"/>
              </w:rPr>
            </w:pPr>
            <w:r>
              <w:rPr>
                <w:rFonts w:hint="eastAsia" w:ascii="仿宋_GB2312"/>
                <w:sz w:val="24"/>
                <w:szCs w:val="24"/>
              </w:rPr>
              <w:t>分</w:t>
            </w:r>
          </w:p>
          <w:p>
            <w:pPr>
              <w:overflowPunct w:val="0"/>
              <w:contextualSpacing/>
              <w:jc w:val="center"/>
              <w:rPr>
                <w:rFonts w:hint="eastAsia" w:ascii="仿宋_GB2312"/>
                <w:sz w:val="24"/>
                <w:szCs w:val="24"/>
              </w:rPr>
            </w:pPr>
            <w:r>
              <w:rPr>
                <w:rFonts w:hint="eastAsia" w:ascii="仿宋_GB2312"/>
                <w:sz w:val="24"/>
                <w:szCs w:val="24"/>
              </w:rPr>
              <w:t>项</w:t>
            </w:r>
          </w:p>
        </w:tc>
        <w:tc>
          <w:tcPr>
            <w:tcW w:w="897"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612" w:type="dxa"/>
            <w:noWrap w:val="0"/>
            <w:vAlign w:val="center"/>
          </w:tcPr>
          <w:p>
            <w:pPr>
              <w:overflowPunct w:val="0"/>
              <w:contextualSpacing/>
              <w:rPr>
                <w:rFonts w:hint="eastAsia" w:ascii="仿宋_GB2312"/>
                <w:sz w:val="24"/>
                <w:szCs w:val="24"/>
              </w:rPr>
            </w:pPr>
            <w:r>
              <w:rPr>
                <w:rFonts w:hint="eastAsia" w:ascii="仿宋_GB2312"/>
                <w:sz w:val="24"/>
                <w:szCs w:val="24"/>
              </w:rPr>
              <w:t>公共服务提升情况</w:t>
            </w:r>
          </w:p>
        </w:tc>
        <w:tc>
          <w:tcPr>
            <w:tcW w:w="885" w:type="dxa"/>
            <w:noWrap w:val="0"/>
            <w:vAlign w:val="center"/>
          </w:tcPr>
          <w:p>
            <w:pPr>
              <w:overflowPunct w:val="0"/>
              <w:contextualSpacing/>
              <w:jc w:val="center"/>
              <w:rPr>
                <w:rFonts w:hint="eastAsia" w:ascii="仿宋_GB2312"/>
                <w:sz w:val="24"/>
                <w:szCs w:val="24"/>
              </w:rPr>
            </w:pPr>
            <w:r>
              <w:rPr>
                <w:rFonts w:hint="eastAsia" w:ascii="仿宋_GB2312"/>
                <w:sz w:val="24"/>
                <w:szCs w:val="24"/>
              </w:rPr>
              <w:t>60</w:t>
            </w:r>
          </w:p>
        </w:tc>
        <w:tc>
          <w:tcPr>
            <w:tcW w:w="2749" w:type="dxa"/>
            <w:noWrap w:val="0"/>
            <w:vAlign w:val="center"/>
          </w:tcPr>
          <w:p>
            <w:pPr>
              <w:overflowPunct w:val="0"/>
              <w:contextualSpacing/>
              <w:rPr>
                <w:rFonts w:hint="eastAsia" w:ascii="仿宋_GB2312"/>
                <w:sz w:val="24"/>
                <w:szCs w:val="24"/>
              </w:rPr>
            </w:pPr>
            <w:r>
              <w:rPr>
                <w:rFonts w:hint="eastAsia" w:ascii="仿宋_GB2312"/>
                <w:sz w:val="24"/>
                <w:szCs w:val="24"/>
              </w:rPr>
              <w:t>站内建立独立母婴室并配备基本设施的，加30分；站内建成智能化厕所，加30分。</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 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44" w:type="dxa"/>
            <w:noWrap w:val="0"/>
            <w:vAlign w:val="center"/>
          </w:tcPr>
          <w:p>
            <w:pPr>
              <w:overflowPunct w:val="0"/>
              <w:contextualSpacing/>
              <w:jc w:val="center"/>
              <w:rPr>
                <w:rFonts w:hint="eastAsia" w:ascii="仿宋_GB2312"/>
                <w:sz w:val="24"/>
                <w:szCs w:val="24"/>
              </w:rPr>
            </w:pPr>
            <w:r>
              <w:rPr>
                <w:rFonts w:hint="eastAsia" w:ascii="仿宋_GB2312"/>
                <w:sz w:val="24"/>
                <w:szCs w:val="24"/>
              </w:rPr>
              <w:t>15</w:t>
            </w:r>
          </w:p>
        </w:tc>
        <w:tc>
          <w:tcPr>
            <w:tcW w:w="628" w:type="dxa"/>
            <w:vMerge w:val="continue"/>
            <w:noWrap w:val="0"/>
            <w:vAlign w:val="center"/>
          </w:tcPr>
          <w:p>
            <w:pPr>
              <w:overflowPunct w:val="0"/>
              <w:contextualSpacing/>
              <w:jc w:val="center"/>
              <w:rPr>
                <w:rFonts w:hint="eastAsia" w:ascii="仿宋_GB2312"/>
                <w:sz w:val="24"/>
                <w:szCs w:val="24"/>
              </w:rPr>
            </w:pPr>
          </w:p>
        </w:tc>
        <w:tc>
          <w:tcPr>
            <w:tcW w:w="897" w:type="dxa"/>
            <w:vMerge w:val="continue"/>
            <w:noWrap w:val="0"/>
            <w:vAlign w:val="center"/>
          </w:tcPr>
          <w:p>
            <w:pPr>
              <w:overflowPunct w:val="0"/>
              <w:contextualSpacing/>
              <w:jc w:val="center"/>
              <w:rPr>
                <w:rFonts w:hint="eastAsia" w:ascii="仿宋_GB2312"/>
                <w:sz w:val="24"/>
                <w:szCs w:val="24"/>
              </w:rPr>
            </w:pPr>
          </w:p>
        </w:tc>
        <w:tc>
          <w:tcPr>
            <w:tcW w:w="1612" w:type="dxa"/>
            <w:noWrap w:val="0"/>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885" w:type="dxa"/>
            <w:noWrap w:val="0"/>
            <w:vAlign w:val="center"/>
          </w:tcPr>
          <w:p>
            <w:pPr>
              <w:overflowPunct w:val="0"/>
              <w:contextualSpacing/>
              <w:jc w:val="center"/>
              <w:rPr>
                <w:rFonts w:hint="eastAsia" w:ascii="仿宋_GB2312"/>
                <w:sz w:val="24"/>
                <w:szCs w:val="24"/>
              </w:rPr>
            </w:pPr>
            <w:r>
              <w:rPr>
                <w:rFonts w:hint="eastAsia" w:ascii="仿宋_GB2312"/>
                <w:sz w:val="24"/>
                <w:szCs w:val="24"/>
              </w:rPr>
              <w:t>40</w:t>
            </w:r>
          </w:p>
        </w:tc>
        <w:tc>
          <w:tcPr>
            <w:tcW w:w="2749" w:type="dxa"/>
            <w:noWrap w:val="0"/>
            <w:vAlign w:val="center"/>
          </w:tcPr>
          <w:p>
            <w:pPr>
              <w:overflowPunct w:val="0"/>
              <w:contextualSpacing/>
              <w:rPr>
                <w:rFonts w:hint="eastAsia" w:ascii="仿宋_GB2312"/>
                <w:sz w:val="24"/>
                <w:szCs w:val="24"/>
              </w:rPr>
            </w:pPr>
            <w:r>
              <w:rPr>
                <w:rFonts w:hint="eastAsia" w:ascii="仿宋_GB2312"/>
                <w:sz w:val="24"/>
                <w:szCs w:val="24"/>
                <w:lang w:val="zh-CN"/>
              </w:rPr>
              <w:t>配合处置突发事件、参与应急抢险、自然灾害救援的，1次加10分；站内工作人员</w:t>
            </w:r>
            <w:r>
              <w:rPr>
                <w:rFonts w:hint="eastAsia" w:ascii="仿宋_GB2312"/>
                <w:sz w:val="24"/>
                <w:szCs w:val="24"/>
              </w:rPr>
              <w:t>有见义勇为、救死扶伤、拾金不昧等事迹的，每1起加5分，加满为止。</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15" w:type="dxa"/>
            <w:gridSpan w:val="6"/>
            <w:noWrap w:val="0"/>
            <w:vAlign w:val="center"/>
          </w:tcPr>
          <w:p>
            <w:pPr>
              <w:overflowPunct w:val="0"/>
              <w:contextualSpacing/>
              <w:rPr>
                <w:rFonts w:hint="eastAsia" w:ascii="仿宋_GB2312"/>
                <w:sz w:val="24"/>
                <w:szCs w:val="24"/>
              </w:rPr>
            </w:pPr>
            <w:r>
              <w:rPr>
                <w:rFonts w:hint="eastAsia" w:ascii="仿宋_GB2312"/>
                <w:sz w:val="24"/>
                <w:szCs w:val="24"/>
              </w:rPr>
              <w:t>凡发生以下行为之一的，本年度信用分直接扣500分：</w:t>
            </w:r>
          </w:p>
          <w:p>
            <w:pPr>
              <w:overflowPunct w:val="0"/>
              <w:contextualSpacing/>
              <w:rPr>
                <w:rFonts w:hint="eastAsia" w:ascii="仿宋_GB2312"/>
                <w:sz w:val="24"/>
                <w:szCs w:val="24"/>
              </w:rPr>
            </w:pPr>
            <w:r>
              <w:rPr>
                <w:rFonts w:hint="eastAsia" w:ascii="仿宋_GB2312"/>
                <w:sz w:val="24"/>
                <w:szCs w:val="24"/>
              </w:rPr>
              <w:t>（一）道路运输企业因违反道路运输相关法律法规被吊销道路运输经营许可的；</w:t>
            </w:r>
          </w:p>
          <w:p>
            <w:pPr>
              <w:overflowPunct w:val="0"/>
              <w:contextualSpacing/>
              <w:rPr>
                <w:rFonts w:hint="eastAsia" w:ascii="仿宋_GB2312"/>
                <w:sz w:val="24"/>
                <w:szCs w:val="24"/>
              </w:rPr>
            </w:pPr>
            <w:r>
              <w:rPr>
                <w:rFonts w:hint="eastAsia" w:ascii="仿宋_GB2312"/>
                <w:sz w:val="24"/>
                <w:szCs w:val="24"/>
              </w:rPr>
              <w:t>（二）故意瞒报亡人责任事故信息的；</w:t>
            </w:r>
          </w:p>
          <w:p>
            <w:pPr>
              <w:overflowPunct w:val="0"/>
              <w:contextualSpacing/>
              <w:rPr>
                <w:rFonts w:hint="eastAsia" w:ascii="仿宋_GB2312"/>
                <w:sz w:val="24"/>
                <w:szCs w:val="24"/>
              </w:rPr>
            </w:pPr>
            <w:r>
              <w:rPr>
                <w:rFonts w:hint="eastAsia" w:ascii="仿宋_GB2312"/>
                <w:sz w:val="24"/>
                <w:szCs w:val="24"/>
              </w:rPr>
              <w:t>（三）组织煽动从业人员进行上访、罢工、闹事，引发群体性事件造成恶劣影响的。</w:t>
            </w:r>
            <w:r>
              <w:rPr>
                <w:rFonts w:hint="eastAsia" w:ascii="仿宋_GB2312"/>
                <w:sz w:val="24"/>
                <w:szCs w:val="24"/>
                <w:lang w:val="zh-CN"/>
              </w:rPr>
              <w:t>凡发生《浙江省道路运输企业信用管理实施细则》第十二条行为之一的，本年度信用分直接扣500分。</w:t>
            </w:r>
          </w:p>
        </w:tc>
        <w:tc>
          <w:tcPr>
            <w:tcW w:w="1330"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 数据共享或手工录入</w:t>
            </w:r>
          </w:p>
        </w:tc>
      </w:tr>
    </w:tbl>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关于手工录入部分省、市、县分工说明</w:t>
      </w:r>
    </w:p>
    <w:p>
      <w:pPr>
        <w:overflowPunct w:val="0"/>
        <w:spacing w:line="36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除被媒体曝光负面事件由市级交通运输部门负责外，其他手工录入数据按照信息来源，由省、市、县分别录入。具体说明如下：</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1.被省级组织站场安全暗查发现隐患的，由省级相关部门录入；</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2.被市级12345/12328投诉信息、被市级组织站场安全暗查发现隐患、发生恶劣群体性事件、红黑名单认定行为的，由市级相关部门录入；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3.被县级12345/12328投诉信息、站内标识设置、卫生和安全告知等情况、事故相关信息、公共服务提升情况、参与社会公益及应急救援等信息的，由县级相关部门录入。</w:t>
      </w:r>
    </w:p>
    <w:p>
      <w:pPr>
        <w:overflowPunct w:val="0"/>
        <w:spacing w:line="360" w:lineRule="exact"/>
        <w:ind w:firstLine="480" w:firstLineChars="200"/>
        <w:rPr>
          <w:rFonts w:hint="eastAsia" w:ascii="仿宋_GB2312"/>
          <w:sz w:val="24"/>
          <w:szCs w:val="28"/>
        </w:rPr>
      </w:pPr>
    </w:p>
    <w:p>
      <w:pPr>
        <w:overflowPunct w:val="0"/>
        <w:spacing w:line="590" w:lineRule="exact"/>
        <w:rPr>
          <w:rFonts w:ascii="黑体" w:hAnsi="黑体" w:eastAsia="黑体"/>
          <w:szCs w:val="32"/>
        </w:rPr>
      </w:pPr>
      <w:r>
        <w:rPr>
          <w:szCs w:val="32"/>
        </w:rPr>
        <w:br w:type="page"/>
      </w:r>
      <w:r>
        <w:rPr>
          <w:rFonts w:ascii="黑体" w:hAnsi="黑体" w:eastAsia="黑体"/>
          <w:szCs w:val="32"/>
        </w:rPr>
        <w:t>附表</w:t>
      </w:r>
      <w:r>
        <w:rPr>
          <w:rFonts w:hint="eastAsia" w:ascii="黑体" w:hAnsi="黑体" w:eastAsia="黑体"/>
          <w:szCs w:val="32"/>
        </w:rPr>
        <w:t>1-</w:t>
      </w:r>
      <w:r>
        <w:rPr>
          <w:rFonts w:ascii="黑体" w:hAnsi="黑体" w:eastAsia="黑体"/>
          <w:szCs w:val="32"/>
        </w:rPr>
        <w:t>9</w:t>
      </w:r>
    </w:p>
    <w:p>
      <w:pPr>
        <w:overflowPunct w:val="0"/>
        <w:spacing w:line="590" w:lineRule="exact"/>
        <w:ind w:firstLine="640" w:firstLineChars="200"/>
        <w:rPr>
          <w:szCs w:val="32"/>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道路货运站（场）信用评价标准</w:t>
      </w:r>
    </w:p>
    <w:p>
      <w:pPr>
        <w:overflowPunct w:val="0"/>
        <w:spacing w:line="59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10"/>
        <w:gridCol w:w="683"/>
        <w:gridCol w:w="890"/>
        <w:gridCol w:w="1484"/>
        <w:gridCol w:w="840"/>
        <w:gridCol w:w="2906"/>
        <w:gridCol w:w="13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1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8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89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48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84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906"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3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83"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89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信用承诺履行情况</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906"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83"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市场信用</w:t>
            </w:r>
          </w:p>
        </w:tc>
        <w:tc>
          <w:tcPr>
            <w:tcW w:w="89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250</w:t>
            </w: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被交通运输部门行政处罚情况</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250</w:t>
            </w:r>
          </w:p>
        </w:tc>
        <w:tc>
          <w:tcPr>
            <w:tcW w:w="2906"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每次扣50分，扣完为止。</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共享数据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83" w:type="dxa"/>
            <w:vMerge w:val="restart"/>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服务信用</w:t>
            </w:r>
          </w:p>
        </w:tc>
        <w:tc>
          <w:tcPr>
            <w:tcW w:w="890" w:type="dxa"/>
            <w:vMerge w:val="restart"/>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服务内容、服务价格公开情况</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40</w:t>
            </w:r>
          </w:p>
        </w:tc>
        <w:tc>
          <w:tcPr>
            <w:tcW w:w="2906"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未公布收费项目及标准，未设立公告栏，未公布各项管理制度，每项扣10分，扣完为止。</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8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890"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被媒体曝光负面事件数</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40</w:t>
            </w:r>
          </w:p>
        </w:tc>
        <w:tc>
          <w:tcPr>
            <w:tcW w:w="2906"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被市级及以下新闻媒体曝光的，每次扣20分；被省级以上新闻媒体曝光的，每次扣40分，扣完为止。</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8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890"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被投诉案件情况</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120</w:t>
            </w:r>
          </w:p>
        </w:tc>
        <w:tc>
          <w:tcPr>
            <w:tcW w:w="2906"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被投诉及社会监督组织发现问题且属实的，扣30分，扣完为止。</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83" w:type="dxa"/>
            <w:vMerge w:val="restart"/>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890" w:type="dxa"/>
            <w:vMerge w:val="restart"/>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执法检查综合赋分</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300</w:t>
            </w:r>
          </w:p>
        </w:tc>
        <w:tc>
          <w:tcPr>
            <w:tcW w:w="2906" w:type="dxa"/>
            <w:noWrap w:val="0"/>
            <w:tcMar>
              <w:top w:w="45" w:type="dxa"/>
              <w:bottom w:w="45" w:type="dxa"/>
            </w:tcMar>
            <w:vAlign w:val="center"/>
          </w:tcPr>
          <w:p>
            <w:pPr>
              <w:overflowPunct w:val="0"/>
              <w:spacing w:line="280" w:lineRule="exact"/>
              <w:contextualSpacing/>
              <w:rPr>
                <w:rFonts w:hint="eastAsia" w:ascii="仿宋_GB2312"/>
                <w:sz w:val="24"/>
                <w:szCs w:val="24"/>
              </w:rPr>
            </w:pPr>
            <w:r>
              <w:rPr>
                <w:rFonts w:hint="eastAsia" w:ascii="仿宋_GB2312"/>
                <w:sz w:val="24"/>
                <w:szCs w:val="24"/>
              </w:rPr>
              <w:t>结合消防安全、实名制查验与登记管理等反恐安全、进出站安全检查等进行执法检查情况，按照相关检查发现问题，每发现1处扣20分，扣完为止。</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8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890"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安全暗查发现隐患情况</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2906"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省市组织站场安全暗查发现隐患，按未落实要求，每处扣10分，扣完为止。</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8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890"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1484"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停业整顿情况</w:t>
            </w:r>
          </w:p>
        </w:tc>
        <w:tc>
          <w:tcPr>
            <w:tcW w:w="84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 xml:space="preserve">400 </w:t>
            </w:r>
          </w:p>
        </w:tc>
        <w:tc>
          <w:tcPr>
            <w:tcW w:w="2906"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因存在严重安全隐患，被勒令停业整顿的，每发生一次扣100分，扣完为止。</w:t>
            </w:r>
          </w:p>
        </w:tc>
        <w:tc>
          <w:tcPr>
            <w:tcW w:w="133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683" w:type="dxa"/>
            <w:noWrap w:val="0"/>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890" w:type="dxa"/>
            <w:noWrap w:val="0"/>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484" w:type="dxa"/>
            <w:noWrap w:val="0"/>
            <w:vAlign w:val="center"/>
          </w:tcPr>
          <w:p>
            <w:pPr>
              <w:overflowPunct w:val="0"/>
              <w:contextualSpacing/>
              <w:rPr>
                <w:rFonts w:hint="eastAsia" w:ascii="仿宋_GB2312"/>
                <w:sz w:val="24"/>
                <w:szCs w:val="24"/>
              </w:rPr>
            </w:pPr>
            <w:r>
              <w:rPr>
                <w:rFonts w:hint="eastAsia" w:ascii="仿宋_GB2312"/>
                <w:sz w:val="24"/>
                <w:szCs w:val="24"/>
                <w:lang w:val="zh-CN"/>
              </w:rPr>
              <w:t>发生安全生产责任事故致人死亡</w:t>
            </w:r>
          </w:p>
        </w:tc>
        <w:tc>
          <w:tcPr>
            <w:tcW w:w="840" w:type="dxa"/>
            <w:noWrap w:val="0"/>
            <w:vAlign w:val="center"/>
          </w:tcPr>
          <w:p>
            <w:pPr>
              <w:overflowPunct w:val="0"/>
              <w:contextualSpacing/>
              <w:jc w:val="center"/>
              <w:rPr>
                <w:rFonts w:hint="eastAsia" w:ascii="仿宋_GB2312"/>
                <w:sz w:val="24"/>
                <w:szCs w:val="24"/>
              </w:rPr>
            </w:pPr>
            <w:r>
              <w:rPr>
                <w:rFonts w:hint="eastAsia" w:ascii="仿宋_GB2312"/>
                <w:sz w:val="24"/>
                <w:szCs w:val="24"/>
              </w:rPr>
              <w:t xml:space="preserve">400 </w:t>
            </w:r>
          </w:p>
        </w:tc>
        <w:tc>
          <w:tcPr>
            <w:tcW w:w="2906" w:type="dxa"/>
            <w:noWrap w:val="0"/>
            <w:vAlign w:val="center"/>
          </w:tcPr>
          <w:p>
            <w:pPr>
              <w:overflowPunct w:val="0"/>
              <w:spacing w:line="280" w:lineRule="exact"/>
              <w:contextualSpacing/>
              <w:rPr>
                <w:rFonts w:hint="eastAsia" w:ascii="仿宋_GB2312"/>
                <w:sz w:val="24"/>
                <w:szCs w:val="24"/>
              </w:rPr>
            </w:pPr>
            <w:r>
              <w:rPr>
                <w:rFonts w:hint="eastAsia" w:ascii="仿宋_GB2312"/>
                <w:sz w:val="24"/>
                <w:szCs w:val="24"/>
              </w:rPr>
              <w:t>发生一次死亡1人及以上安全生产责任事故的，每发生一次扣400分，扣完为止。</w:t>
            </w:r>
          </w:p>
        </w:tc>
        <w:tc>
          <w:tcPr>
            <w:tcW w:w="1332"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683" w:type="dxa"/>
            <w:noWrap w:val="0"/>
            <w:vAlign w:val="center"/>
          </w:tcPr>
          <w:p>
            <w:pPr>
              <w:overflowPunct w:val="0"/>
              <w:contextualSpacing/>
              <w:jc w:val="center"/>
              <w:rPr>
                <w:rFonts w:hint="eastAsia" w:ascii="仿宋_GB2312"/>
                <w:sz w:val="24"/>
                <w:szCs w:val="24"/>
              </w:rPr>
            </w:pPr>
            <w:r>
              <w:rPr>
                <w:rFonts w:hint="eastAsia" w:ascii="仿宋_GB2312"/>
                <w:sz w:val="24"/>
                <w:szCs w:val="24"/>
              </w:rPr>
              <w:t>公共信用</w:t>
            </w:r>
          </w:p>
        </w:tc>
        <w:tc>
          <w:tcPr>
            <w:tcW w:w="890" w:type="dxa"/>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84" w:type="dxa"/>
            <w:noWrap w:val="0"/>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840" w:type="dxa"/>
            <w:noWrap w:val="0"/>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2906" w:type="dxa"/>
            <w:noWrap w:val="0"/>
            <w:vAlign w:val="center"/>
          </w:tcPr>
          <w:p>
            <w:pPr>
              <w:overflowPunct w:val="0"/>
              <w:spacing w:line="280" w:lineRule="exact"/>
              <w:contextualSpacing/>
              <w:rPr>
                <w:rFonts w:hint="eastAsia" w:ascii="仿宋_GB2312"/>
                <w:sz w:val="24"/>
                <w:szCs w:val="24"/>
              </w:rPr>
            </w:pPr>
            <w:r>
              <w:rPr>
                <w:rFonts w:hint="eastAsia" w:ascii="仿宋_GB2312"/>
                <w:sz w:val="24"/>
                <w:szCs w:val="24"/>
              </w:rPr>
              <w:t>根据省信用办提供的企业公共信用分值按比例进行换算。</w:t>
            </w:r>
          </w:p>
        </w:tc>
        <w:tc>
          <w:tcPr>
            <w:tcW w:w="1332" w:type="dxa"/>
            <w:noWrap w:val="0"/>
            <w:vAlign w:val="center"/>
          </w:tcPr>
          <w:p>
            <w:pPr>
              <w:overflowPunct w:val="0"/>
              <w:contextualSpacing/>
              <w:jc w:val="center"/>
              <w:rPr>
                <w:rFonts w:hint="eastAsia" w:ascii="仿宋_GB2312"/>
                <w:sz w:val="24"/>
                <w:szCs w:val="24"/>
              </w:rPr>
            </w:pPr>
            <w:r>
              <w:rPr>
                <w:rFonts w:hint="eastAsia" w:ascii="仿宋_GB2312"/>
                <w:sz w:val="24"/>
                <w:szCs w:val="24"/>
              </w:rPr>
              <w:t>省大数据局数据共享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683"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加分项</w:t>
            </w:r>
          </w:p>
        </w:tc>
        <w:tc>
          <w:tcPr>
            <w:tcW w:w="890"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484" w:type="dxa"/>
            <w:noWrap w:val="0"/>
            <w:vAlign w:val="center"/>
          </w:tcPr>
          <w:p>
            <w:pPr>
              <w:overflowPunct w:val="0"/>
              <w:contextualSpacing/>
              <w:rPr>
                <w:rFonts w:hint="eastAsia" w:ascii="仿宋_GB2312"/>
                <w:sz w:val="24"/>
                <w:szCs w:val="24"/>
              </w:rPr>
            </w:pPr>
            <w:r>
              <w:rPr>
                <w:rFonts w:hint="eastAsia" w:ascii="仿宋_GB2312"/>
                <w:sz w:val="24"/>
                <w:szCs w:val="24"/>
              </w:rPr>
              <w:t>获得省部级以上荣誉称号情况</w:t>
            </w:r>
          </w:p>
        </w:tc>
        <w:tc>
          <w:tcPr>
            <w:tcW w:w="840" w:type="dxa"/>
            <w:noWrap w:val="0"/>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906" w:type="dxa"/>
            <w:noWrap w:val="0"/>
            <w:vAlign w:val="center"/>
          </w:tcPr>
          <w:p>
            <w:pPr>
              <w:overflowPunct w:val="0"/>
              <w:spacing w:line="280" w:lineRule="exact"/>
              <w:contextualSpacing/>
              <w:rPr>
                <w:rFonts w:hint="eastAsia" w:ascii="仿宋_GB2312"/>
                <w:sz w:val="24"/>
                <w:szCs w:val="24"/>
              </w:rPr>
            </w:pPr>
            <w:r>
              <w:rPr>
                <w:rFonts w:hint="eastAsia" w:ascii="仿宋_GB2312"/>
                <w:sz w:val="24"/>
                <w:szCs w:val="24"/>
              </w:rPr>
              <w:t>获得国家部委、省级党政机关以上单位（不含下设机构）授予的在评优创先、安全生产、文明服务、精神文明建设等方面集体荣誉称号的，加20分。</w:t>
            </w:r>
          </w:p>
        </w:tc>
        <w:tc>
          <w:tcPr>
            <w:tcW w:w="1332" w:type="dxa"/>
            <w:noWrap w:val="0"/>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683" w:type="dxa"/>
            <w:vMerge w:val="continue"/>
            <w:noWrap w:val="0"/>
            <w:vAlign w:val="center"/>
          </w:tcPr>
          <w:p>
            <w:pPr>
              <w:overflowPunct w:val="0"/>
              <w:contextualSpacing/>
              <w:jc w:val="center"/>
              <w:rPr>
                <w:rFonts w:hint="eastAsia" w:ascii="仿宋_GB2312"/>
                <w:sz w:val="24"/>
                <w:szCs w:val="24"/>
              </w:rPr>
            </w:pPr>
          </w:p>
        </w:tc>
        <w:tc>
          <w:tcPr>
            <w:tcW w:w="890" w:type="dxa"/>
            <w:vMerge w:val="continue"/>
            <w:noWrap w:val="0"/>
            <w:vAlign w:val="center"/>
          </w:tcPr>
          <w:p>
            <w:pPr>
              <w:overflowPunct w:val="0"/>
              <w:contextualSpacing/>
              <w:jc w:val="center"/>
              <w:rPr>
                <w:rFonts w:hint="eastAsia" w:ascii="仿宋_GB2312"/>
                <w:sz w:val="24"/>
                <w:szCs w:val="24"/>
              </w:rPr>
            </w:pPr>
          </w:p>
        </w:tc>
        <w:tc>
          <w:tcPr>
            <w:tcW w:w="1484" w:type="dxa"/>
            <w:noWrap w:val="0"/>
            <w:vAlign w:val="center"/>
          </w:tcPr>
          <w:p>
            <w:pPr>
              <w:overflowPunct w:val="0"/>
              <w:contextualSpacing/>
              <w:rPr>
                <w:rFonts w:hint="eastAsia" w:ascii="仿宋_GB2312"/>
                <w:sz w:val="24"/>
                <w:szCs w:val="24"/>
              </w:rPr>
            </w:pPr>
            <w:r>
              <w:rPr>
                <w:rFonts w:hint="eastAsia" w:ascii="仿宋_GB2312"/>
                <w:sz w:val="24"/>
                <w:szCs w:val="24"/>
              </w:rPr>
              <w:t>推进称重数据和监控视频接入监管平台</w:t>
            </w:r>
          </w:p>
        </w:tc>
        <w:tc>
          <w:tcPr>
            <w:tcW w:w="840" w:type="dxa"/>
            <w:noWrap w:val="0"/>
            <w:vAlign w:val="center"/>
          </w:tcPr>
          <w:p>
            <w:pPr>
              <w:overflowPunct w:val="0"/>
              <w:contextualSpacing/>
              <w:jc w:val="center"/>
              <w:rPr>
                <w:rFonts w:hint="eastAsia" w:ascii="仿宋_GB2312"/>
                <w:sz w:val="24"/>
                <w:szCs w:val="24"/>
              </w:rPr>
            </w:pPr>
            <w:r>
              <w:rPr>
                <w:rFonts w:hint="eastAsia" w:ascii="仿宋_GB2312"/>
                <w:sz w:val="24"/>
                <w:szCs w:val="24"/>
              </w:rPr>
              <w:t>40</w:t>
            </w:r>
          </w:p>
        </w:tc>
        <w:tc>
          <w:tcPr>
            <w:tcW w:w="2906" w:type="dxa"/>
            <w:noWrap w:val="0"/>
            <w:vAlign w:val="center"/>
          </w:tcPr>
          <w:p>
            <w:pPr>
              <w:overflowPunct w:val="0"/>
              <w:spacing w:line="280" w:lineRule="exact"/>
              <w:contextualSpacing/>
              <w:rPr>
                <w:rFonts w:hint="eastAsia" w:ascii="仿宋_GB2312"/>
                <w:sz w:val="24"/>
                <w:szCs w:val="24"/>
              </w:rPr>
            </w:pPr>
            <w:r>
              <w:rPr>
                <w:rFonts w:hint="eastAsia" w:ascii="仿宋_GB2312"/>
                <w:sz w:val="24"/>
                <w:szCs w:val="24"/>
              </w:rPr>
              <w:t>安装计量称重和视频监控设备，并按规定接入超限运输监管平台的，加40分。</w:t>
            </w:r>
          </w:p>
        </w:tc>
        <w:tc>
          <w:tcPr>
            <w:tcW w:w="1332"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vAlign w:val="center"/>
          </w:tcPr>
          <w:p>
            <w:pPr>
              <w:overflowPunct w:val="0"/>
              <w:contextualSpacing/>
              <w:jc w:val="center"/>
              <w:rPr>
                <w:rFonts w:hint="eastAsia" w:ascii="仿宋_GB2312"/>
                <w:sz w:val="24"/>
                <w:szCs w:val="24"/>
              </w:rPr>
            </w:pPr>
            <w:r>
              <w:rPr>
                <w:rFonts w:hint="eastAsia" w:ascii="仿宋_GB2312"/>
                <w:sz w:val="24"/>
                <w:szCs w:val="24"/>
              </w:rPr>
              <w:t>13</w:t>
            </w:r>
          </w:p>
        </w:tc>
        <w:tc>
          <w:tcPr>
            <w:tcW w:w="683" w:type="dxa"/>
            <w:vMerge w:val="continue"/>
            <w:noWrap w:val="0"/>
            <w:vAlign w:val="center"/>
          </w:tcPr>
          <w:p>
            <w:pPr>
              <w:overflowPunct w:val="0"/>
              <w:contextualSpacing/>
              <w:jc w:val="center"/>
              <w:rPr>
                <w:rFonts w:hint="eastAsia" w:ascii="仿宋_GB2312"/>
                <w:sz w:val="24"/>
                <w:szCs w:val="24"/>
              </w:rPr>
            </w:pPr>
          </w:p>
        </w:tc>
        <w:tc>
          <w:tcPr>
            <w:tcW w:w="890" w:type="dxa"/>
            <w:vMerge w:val="continue"/>
            <w:noWrap w:val="0"/>
            <w:vAlign w:val="center"/>
          </w:tcPr>
          <w:p>
            <w:pPr>
              <w:overflowPunct w:val="0"/>
              <w:contextualSpacing/>
              <w:jc w:val="center"/>
              <w:rPr>
                <w:rFonts w:hint="eastAsia" w:ascii="仿宋_GB2312"/>
                <w:sz w:val="24"/>
                <w:szCs w:val="24"/>
              </w:rPr>
            </w:pPr>
          </w:p>
        </w:tc>
        <w:tc>
          <w:tcPr>
            <w:tcW w:w="1484" w:type="dxa"/>
            <w:noWrap w:val="0"/>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840" w:type="dxa"/>
            <w:noWrap w:val="0"/>
            <w:vAlign w:val="center"/>
          </w:tcPr>
          <w:p>
            <w:pPr>
              <w:overflowPunct w:val="0"/>
              <w:contextualSpacing/>
              <w:jc w:val="center"/>
              <w:rPr>
                <w:rFonts w:hint="eastAsia" w:ascii="仿宋_GB2312"/>
                <w:sz w:val="24"/>
                <w:szCs w:val="24"/>
              </w:rPr>
            </w:pPr>
            <w:r>
              <w:rPr>
                <w:rFonts w:hint="eastAsia" w:ascii="仿宋_GB2312"/>
                <w:sz w:val="24"/>
                <w:szCs w:val="24"/>
              </w:rPr>
              <w:t>40</w:t>
            </w:r>
          </w:p>
        </w:tc>
        <w:tc>
          <w:tcPr>
            <w:tcW w:w="2906" w:type="dxa"/>
            <w:noWrap w:val="0"/>
            <w:vAlign w:val="center"/>
          </w:tcPr>
          <w:p>
            <w:pPr>
              <w:overflowPunct w:val="0"/>
              <w:spacing w:line="280" w:lineRule="exact"/>
              <w:contextualSpacing/>
              <w:rPr>
                <w:rFonts w:hint="eastAsia" w:ascii="仿宋_GB2312"/>
                <w:sz w:val="24"/>
                <w:szCs w:val="24"/>
              </w:rPr>
            </w:pPr>
            <w:r>
              <w:rPr>
                <w:rFonts w:hint="eastAsia" w:ascii="仿宋_GB2312"/>
                <w:sz w:val="24"/>
                <w:szCs w:val="24"/>
              </w:rPr>
              <w:t>配合处置突发事件、参与应急抢险、自然灾害救援的，每1次加10分；经营业户有见义勇为、拾金不昧等事迹的，每1起加5分，</w:t>
            </w:r>
          </w:p>
        </w:tc>
        <w:tc>
          <w:tcPr>
            <w:tcW w:w="1332" w:type="dxa"/>
            <w:noWrap w:val="0"/>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13" w:type="dxa"/>
            <w:gridSpan w:val="6"/>
            <w:noWrap w:val="0"/>
            <w:vAlign w:val="center"/>
          </w:tcPr>
          <w:p>
            <w:pPr>
              <w:overflowPunct w:val="0"/>
              <w:contextualSpacing/>
              <w:rPr>
                <w:rFonts w:hint="eastAsia" w:ascii="仿宋_GB2312"/>
                <w:sz w:val="24"/>
                <w:szCs w:val="24"/>
              </w:rPr>
            </w:pPr>
            <w:r>
              <w:rPr>
                <w:rFonts w:hint="eastAsia" w:ascii="仿宋_GB2312"/>
                <w:sz w:val="24"/>
                <w:szCs w:val="24"/>
              </w:rPr>
              <w:t>凡发生以下行为之一的，本年度信用分直接扣500分：</w:t>
            </w:r>
          </w:p>
          <w:p>
            <w:pPr>
              <w:overflowPunct w:val="0"/>
              <w:contextualSpacing/>
              <w:rPr>
                <w:rFonts w:hint="eastAsia" w:ascii="仿宋_GB2312"/>
                <w:sz w:val="24"/>
                <w:szCs w:val="24"/>
              </w:rPr>
            </w:pPr>
            <w:r>
              <w:rPr>
                <w:rFonts w:hint="eastAsia" w:ascii="仿宋_GB2312"/>
                <w:sz w:val="24"/>
                <w:szCs w:val="24"/>
              </w:rPr>
              <w:t>（一）故意瞒报亡人责任事故信息的；</w:t>
            </w:r>
          </w:p>
          <w:p>
            <w:pPr>
              <w:overflowPunct w:val="0"/>
              <w:contextualSpacing/>
              <w:rPr>
                <w:rFonts w:hint="eastAsia" w:ascii="仿宋_GB2312"/>
                <w:sz w:val="24"/>
                <w:szCs w:val="24"/>
              </w:rPr>
            </w:pPr>
            <w:r>
              <w:rPr>
                <w:rFonts w:hint="eastAsia" w:ascii="仿宋_GB2312"/>
                <w:sz w:val="24"/>
                <w:szCs w:val="24"/>
              </w:rPr>
              <w:t>（二）组织煽动从业人员进行上访、罢工、闹事，引发群体性事件造成恶劣影响的。</w:t>
            </w:r>
          </w:p>
          <w:p>
            <w:pPr>
              <w:overflowPunct w:val="0"/>
              <w:contextualSpacing/>
              <w:rPr>
                <w:rFonts w:hint="eastAsia" w:ascii="仿宋_GB2312"/>
                <w:sz w:val="24"/>
                <w:szCs w:val="24"/>
              </w:rPr>
            </w:pPr>
            <w:r>
              <w:rPr>
                <w:rFonts w:hint="eastAsia" w:ascii="仿宋_GB2312"/>
                <w:sz w:val="24"/>
                <w:szCs w:val="24"/>
              </w:rPr>
              <w:t>凡发生《浙江省道路运输企业信用管理实施细则》第十二条行为之一的，本年度信用分直接扣500分。</w:t>
            </w:r>
          </w:p>
        </w:tc>
        <w:tc>
          <w:tcPr>
            <w:tcW w:w="1332" w:type="dxa"/>
            <w:noWrap w:val="0"/>
            <w:vAlign w:val="center"/>
          </w:tcPr>
          <w:p>
            <w:pPr>
              <w:overflowPunct w:val="0"/>
              <w:contextualSpacing/>
              <w:jc w:val="center"/>
              <w:rPr>
                <w:rFonts w:hint="eastAsia" w:ascii="仿宋_GB2312"/>
                <w:sz w:val="24"/>
                <w:szCs w:val="24"/>
              </w:rPr>
            </w:pPr>
            <w:r>
              <w:rPr>
                <w:rFonts w:hint="eastAsia" w:ascii="仿宋_GB2312"/>
                <w:sz w:val="24"/>
                <w:szCs w:val="24"/>
              </w:rPr>
              <w:t>行业内部数据共享或手工录入</w:t>
            </w:r>
          </w:p>
        </w:tc>
      </w:tr>
    </w:tbl>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注：</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关于手工录入部分省、市、县分工说明</w:t>
      </w:r>
    </w:p>
    <w:p>
      <w:pPr>
        <w:overflowPunct w:val="0"/>
        <w:spacing w:line="36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除被媒体曝光负面事件由市级交通运输部门负责外，其他手工录入数据按照信息来源，由省、市、县分别录入。具体说明如下：</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1.被省级组织站场安全暗查发现隐患的，由省级相关部门录入；</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2.被市级组织站场安全暗查发现隐患、被市级12345/12328投诉信息、发生恶劣群体性事件、红黑名单认定行为的，由市级相关部门录入；</w:t>
      </w:r>
    </w:p>
    <w:p>
      <w:pPr>
        <w:overflowPunct w:val="0"/>
        <w:spacing w:line="360" w:lineRule="exact"/>
        <w:ind w:firstLine="480" w:firstLineChars="200"/>
        <w:rPr>
          <w:rFonts w:hint="eastAsia" w:ascii="仿宋_GB2312"/>
          <w:sz w:val="24"/>
          <w:szCs w:val="28"/>
        </w:rPr>
      </w:pPr>
      <w:r>
        <w:rPr>
          <w:rFonts w:hint="eastAsia" w:ascii="仿宋_GB2312"/>
          <w:sz w:val="24"/>
          <w:szCs w:val="28"/>
        </w:rPr>
        <w:t>3.被县级12345/12328投诉信息、服务内容、价格公开情况、事故相关信息、参与社会公益及应急救援等信息的，由县级相关部门录入。</w:t>
      </w:r>
    </w:p>
    <w:p>
      <w:pPr>
        <w:overflowPunct w:val="0"/>
        <w:spacing w:line="580" w:lineRule="exact"/>
        <w:rPr>
          <w:rFonts w:hint="eastAsia" w:ascii="黑体" w:hAnsi="黑体" w:eastAsia="黑体"/>
          <w:szCs w:val="32"/>
        </w:rPr>
      </w:pPr>
      <w:r>
        <w:rPr>
          <w:szCs w:val="32"/>
        </w:rPr>
        <w:br w:type="page"/>
      </w:r>
      <w:r>
        <w:rPr>
          <w:rFonts w:hint="eastAsia" w:ascii="黑体" w:hAnsi="黑体" w:eastAsia="黑体"/>
          <w:szCs w:val="32"/>
        </w:rPr>
        <w:t>附表1-10</w:t>
      </w:r>
    </w:p>
    <w:p>
      <w:pPr>
        <w:overflowPunct w:val="0"/>
        <w:spacing w:line="580" w:lineRule="exact"/>
        <w:ind w:firstLine="640" w:firstLineChars="200"/>
        <w:rPr>
          <w:szCs w:val="32"/>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汽车综合性能检测站信用评价标准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08"/>
        <w:gridCol w:w="610"/>
        <w:gridCol w:w="851"/>
        <w:gridCol w:w="1574"/>
        <w:gridCol w:w="847"/>
        <w:gridCol w:w="2979"/>
        <w:gridCol w:w="12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710" w:type="dxa"/>
            <w:noWrap w:val="0"/>
            <w:tcMar>
              <w:top w:w="8" w:type="dxa"/>
              <w:left w:w="8" w:type="dxa"/>
              <w:right w:w="8"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10" w:type="dxa"/>
            <w:noWrap w:val="0"/>
            <w:tcMar>
              <w:top w:w="8" w:type="dxa"/>
              <w:left w:w="8" w:type="dxa"/>
              <w:right w:w="8"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851" w:type="dxa"/>
            <w:noWrap w:val="0"/>
            <w:tcMar>
              <w:top w:w="8" w:type="dxa"/>
              <w:left w:w="8" w:type="dxa"/>
              <w:right w:w="8"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574" w:type="dxa"/>
            <w:noWrap w:val="0"/>
            <w:tcMar>
              <w:top w:w="8" w:type="dxa"/>
              <w:left w:w="8" w:type="dxa"/>
              <w:right w:w="8"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847" w:type="dxa"/>
            <w:noWrap w:val="0"/>
            <w:tcMar>
              <w:top w:w="8" w:type="dxa"/>
              <w:left w:w="8" w:type="dxa"/>
              <w:right w:w="8"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979" w:type="dxa"/>
            <w:noWrap w:val="0"/>
            <w:tcMar>
              <w:top w:w="8" w:type="dxa"/>
              <w:left w:w="8" w:type="dxa"/>
              <w:right w:w="8"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274" w:type="dxa"/>
            <w:noWrap w:val="0"/>
            <w:tcMar>
              <w:top w:w="8" w:type="dxa"/>
              <w:left w:w="8" w:type="dxa"/>
              <w:right w:w="8" w:type="dxa"/>
            </w:tcMar>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851"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信用承诺履行情况</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lang w:val="zh-CN"/>
              </w:rPr>
              <w:t>在行政事项办理过程中作出信用承诺但未履行的，扣50分。</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市场信用</w:t>
            </w:r>
          </w:p>
        </w:tc>
        <w:tc>
          <w:tcPr>
            <w:tcW w:w="851"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是否实现检测数据互联互通</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150</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未实现检测数据互联互通的扣1次150分，扣完为止。</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10" w:type="dxa"/>
            <w:vMerge w:val="restart"/>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服务信用</w:t>
            </w:r>
          </w:p>
        </w:tc>
        <w:tc>
          <w:tcPr>
            <w:tcW w:w="851" w:type="dxa"/>
            <w:vMerge w:val="restart"/>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被投诉案件情况</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120</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被投诉及社会监督组织发现问题且属实的，扣30分，扣完为止。</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10" w:type="dxa"/>
            <w:vMerge w:val="continue"/>
            <w:noWrap w:val="0"/>
            <w:tcMar>
              <w:top w:w="57" w:type="dxa"/>
              <w:left w:w="8" w:type="dxa"/>
              <w:bottom w:w="57" w:type="dxa"/>
              <w:right w:w="8" w:type="dxa"/>
            </w:tcMar>
            <w:vAlign w:val="center"/>
          </w:tcPr>
          <w:p>
            <w:pPr>
              <w:overflowPunct w:val="0"/>
              <w:contextualSpacing/>
              <w:jc w:val="center"/>
              <w:rPr>
                <w:rFonts w:hint="eastAsia" w:ascii="仿宋_GB2312"/>
                <w:sz w:val="24"/>
                <w:szCs w:val="24"/>
              </w:rPr>
            </w:pPr>
          </w:p>
        </w:tc>
        <w:tc>
          <w:tcPr>
            <w:tcW w:w="851" w:type="dxa"/>
            <w:vMerge w:val="continue"/>
            <w:noWrap w:val="0"/>
            <w:tcMar>
              <w:top w:w="57" w:type="dxa"/>
              <w:left w:w="8" w:type="dxa"/>
              <w:bottom w:w="57" w:type="dxa"/>
              <w:right w:w="8" w:type="dxa"/>
            </w:tcMar>
            <w:vAlign w:val="center"/>
          </w:tcPr>
          <w:p>
            <w:pPr>
              <w:overflowPunct w:val="0"/>
              <w:contextualSpacing/>
              <w:jc w:val="center"/>
              <w:rPr>
                <w:rFonts w:hint="eastAsia" w:ascii="仿宋_GB2312"/>
                <w:sz w:val="24"/>
                <w:szCs w:val="24"/>
              </w:rPr>
            </w:pP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被媒体曝光负面事件情况</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80</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被新闻媒体曝光的，每次扣20分，情节特别恶劣的，扣80分，扣完为止。</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10" w:type="dxa"/>
            <w:vMerge w:val="restart"/>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851" w:type="dxa"/>
            <w:vMerge w:val="restart"/>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300</w:t>
            </w: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执法检查中发现问题情况</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300</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按照企业排序进行扣分；其中未按规定落实安全管理制度的，1次加扣50分，扣完为止。</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10" w:type="dxa"/>
            <w:vMerge w:val="continue"/>
            <w:noWrap w:val="0"/>
            <w:tcMar>
              <w:top w:w="57" w:type="dxa"/>
              <w:left w:w="8" w:type="dxa"/>
              <w:bottom w:w="57" w:type="dxa"/>
              <w:right w:w="8" w:type="dxa"/>
            </w:tcMar>
            <w:vAlign w:val="center"/>
          </w:tcPr>
          <w:p>
            <w:pPr>
              <w:overflowPunct w:val="0"/>
              <w:contextualSpacing/>
              <w:jc w:val="center"/>
              <w:rPr>
                <w:rFonts w:hint="eastAsia" w:ascii="仿宋_GB2312"/>
                <w:sz w:val="24"/>
                <w:szCs w:val="24"/>
              </w:rPr>
            </w:pPr>
          </w:p>
        </w:tc>
        <w:tc>
          <w:tcPr>
            <w:tcW w:w="851" w:type="dxa"/>
            <w:vMerge w:val="continue"/>
            <w:noWrap w:val="0"/>
            <w:tcMar>
              <w:top w:w="57" w:type="dxa"/>
              <w:left w:w="8" w:type="dxa"/>
              <w:bottom w:w="57" w:type="dxa"/>
              <w:right w:w="8" w:type="dxa"/>
            </w:tcMar>
            <w:vAlign w:val="center"/>
          </w:tcPr>
          <w:p>
            <w:pPr>
              <w:overflowPunct w:val="0"/>
              <w:contextualSpacing/>
              <w:jc w:val="center"/>
              <w:rPr>
                <w:rFonts w:hint="eastAsia" w:ascii="仿宋_GB2312"/>
                <w:sz w:val="24"/>
                <w:szCs w:val="24"/>
              </w:rPr>
            </w:pP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发生安全责任事故</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300</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发生一次死亡1人及以上安全生产责任事故的，扣150分，扣完为止。</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公共信用</w:t>
            </w:r>
          </w:p>
        </w:tc>
        <w:tc>
          <w:tcPr>
            <w:tcW w:w="851"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300</w:t>
            </w: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根据省信用办提供的企业公共信用分值按比例进行换算。</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省大数据局数据共享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10" w:type="dxa"/>
            <w:vMerge w:val="restart"/>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加</w:t>
            </w:r>
          </w:p>
          <w:p>
            <w:pPr>
              <w:overflowPunct w:val="0"/>
              <w:contextualSpacing/>
              <w:jc w:val="center"/>
              <w:rPr>
                <w:rFonts w:hint="eastAsia" w:ascii="仿宋_GB2312"/>
                <w:sz w:val="24"/>
                <w:szCs w:val="24"/>
              </w:rPr>
            </w:pPr>
            <w:r>
              <w:rPr>
                <w:rFonts w:hint="eastAsia" w:ascii="仿宋_GB2312"/>
                <w:sz w:val="24"/>
                <w:szCs w:val="24"/>
              </w:rPr>
              <w:t>分</w:t>
            </w:r>
          </w:p>
          <w:p>
            <w:pPr>
              <w:overflowPunct w:val="0"/>
              <w:contextualSpacing/>
              <w:jc w:val="center"/>
              <w:rPr>
                <w:rFonts w:hint="eastAsia" w:ascii="仿宋_GB2312"/>
                <w:sz w:val="24"/>
                <w:szCs w:val="24"/>
              </w:rPr>
            </w:pPr>
            <w:r>
              <w:rPr>
                <w:rFonts w:hint="eastAsia" w:ascii="仿宋_GB2312"/>
                <w:sz w:val="24"/>
                <w:szCs w:val="24"/>
              </w:rPr>
              <w:t>项</w:t>
            </w:r>
          </w:p>
        </w:tc>
        <w:tc>
          <w:tcPr>
            <w:tcW w:w="851" w:type="dxa"/>
            <w:vMerge w:val="restart"/>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获得市厅级以上荣誉称号情况</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20</w:t>
            </w:r>
          </w:p>
        </w:tc>
        <w:tc>
          <w:tcPr>
            <w:tcW w:w="2979" w:type="dxa"/>
            <w:noWrap w:val="0"/>
            <w:tcMar>
              <w:top w:w="57" w:type="dxa"/>
              <w:left w:w="8" w:type="dxa"/>
              <w:bottom w:w="57" w:type="dxa"/>
              <w:right w:w="8" w:type="dxa"/>
            </w:tcMar>
            <w:vAlign w:val="center"/>
          </w:tcPr>
          <w:p>
            <w:pPr>
              <w:tabs>
                <w:tab w:val="left" w:pos="633"/>
              </w:tabs>
              <w:overflowPunct w:val="0"/>
              <w:contextualSpacing/>
              <w:rPr>
                <w:rFonts w:hint="eastAsia" w:ascii="仿宋_GB2312"/>
                <w:sz w:val="24"/>
                <w:szCs w:val="24"/>
              </w:rPr>
            </w:pPr>
            <w:r>
              <w:rPr>
                <w:rFonts w:hint="eastAsia" w:ascii="仿宋_GB2312"/>
                <w:sz w:val="24"/>
                <w:szCs w:val="24"/>
              </w:rPr>
              <w:t>获得市厅级以上单位（不含下设机构）授予的在评优创先、安全生产、文明服务、精神文明建设方面的集体荣誉称号的，加20分。</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610" w:type="dxa"/>
            <w:vMerge w:val="continue"/>
            <w:noWrap w:val="0"/>
            <w:tcMar>
              <w:top w:w="57" w:type="dxa"/>
              <w:left w:w="8" w:type="dxa"/>
              <w:bottom w:w="57" w:type="dxa"/>
              <w:right w:w="8" w:type="dxa"/>
            </w:tcMar>
            <w:vAlign w:val="center"/>
          </w:tcPr>
          <w:p>
            <w:pPr>
              <w:overflowPunct w:val="0"/>
              <w:contextualSpacing/>
              <w:jc w:val="center"/>
              <w:rPr>
                <w:rFonts w:hint="eastAsia" w:ascii="仿宋_GB2312"/>
                <w:sz w:val="24"/>
                <w:szCs w:val="24"/>
              </w:rPr>
            </w:pPr>
          </w:p>
        </w:tc>
        <w:tc>
          <w:tcPr>
            <w:tcW w:w="851" w:type="dxa"/>
            <w:vMerge w:val="continue"/>
            <w:noWrap w:val="0"/>
            <w:tcMar>
              <w:top w:w="57" w:type="dxa"/>
              <w:left w:w="8" w:type="dxa"/>
              <w:bottom w:w="57" w:type="dxa"/>
              <w:right w:w="8" w:type="dxa"/>
            </w:tcMar>
            <w:vAlign w:val="center"/>
          </w:tcPr>
          <w:p>
            <w:pPr>
              <w:overflowPunct w:val="0"/>
              <w:contextualSpacing/>
              <w:jc w:val="center"/>
              <w:rPr>
                <w:rFonts w:hint="eastAsia" w:ascii="仿宋_GB2312"/>
                <w:sz w:val="24"/>
                <w:szCs w:val="24"/>
              </w:rPr>
            </w:pPr>
          </w:p>
        </w:tc>
        <w:tc>
          <w:tcPr>
            <w:tcW w:w="1574"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上传检测数据完整率</w:t>
            </w:r>
          </w:p>
        </w:tc>
        <w:tc>
          <w:tcPr>
            <w:tcW w:w="847"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30</w:t>
            </w:r>
          </w:p>
        </w:tc>
        <w:tc>
          <w:tcPr>
            <w:tcW w:w="2979" w:type="dxa"/>
            <w:noWrap w:val="0"/>
            <w:tcMar>
              <w:top w:w="57" w:type="dxa"/>
              <w:left w:w="8" w:type="dxa"/>
              <w:bottom w:w="57" w:type="dxa"/>
              <w:right w:w="8" w:type="dxa"/>
            </w:tcMar>
            <w:vAlign w:val="center"/>
          </w:tcPr>
          <w:p>
            <w:pPr>
              <w:overflowPunct w:val="0"/>
              <w:contextualSpacing/>
              <w:rPr>
                <w:rFonts w:hint="eastAsia" w:ascii="仿宋_GB2312"/>
                <w:sz w:val="24"/>
                <w:szCs w:val="24"/>
              </w:rPr>
            </w:pPr>
            <w:r>
              <w:rPr>
                <w:rFonts w:hint="eastAsia" w:ascii="仿宋_GB2312"/>
                <w:sz w:val="24"/>
                <w:szCs w:val="24"/>
              </w:rPr>
              <w:t>上传检测数据完整率达到99%及以上的，加30分。</w:t>
            </w:r>
          </w:p>
        </w:tc>
        <w:tc>
          <w:tcPr>
            <w:tcW w:w="1274" w:type="dxa"/>
            <w:noWrap w:val="0"/>
            <w:tcMar>
              <w:top w:w="57" w:type="dxa"/>
              <w:left w:w="8" w:type="dxa"/>
              <w:bottom w:w="57"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10" w:type="dxa"/>
            <w:noWrap w:val="0"/>
            <w:tcMar>
              <w:top w:w="8" w:type="dxa"/>
              <w:left w:w="8"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610" w:type="dxa"/>
            <w:noWrap w:val="0"/>
            <w:tcMar>
              <w:top w:w="8" w:type="dxa"/>
              <w:left w:w="8"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加</w:t>
            </w:r>
          </w:p>
          <w:p>
            <w:pPr>
              <w:overflowPunct w:val="0"/>
              <w:contextualSpacing/>
              <w:jc w:val="center"/>
              <w:rPr>
                <w:rFonts w:hint="eastAsia" w:ascii="仿宋_GB2312"/>
                <w:sz w:val="24"/>
                <w:szCs w:val="24"/>
              </w:rPr>
            </w:pPr>
            <w:r>
              <w:rPr>
                <w:rFonts w:hint="eastAsia" w:ascii="仿宋_GB2312"/>
                <w:sz w:val="24"/>
                <w:szCs w:val="24"/>
              </w:rPr>
              <w:t>分</w:t>
            </w:r>
          </w:p>
          <w:p>
            <w:pPr>
              <w:overflowPunct w:val="0"/>
              <w:contextualSpacing/>
              <w:jc w:val="center"/>
              <w:rPr>
                <w:rFonts w:hint="eastAsia" w:ascii="仿宋_GB2312"/>
                <w:sz w:val="24"/>
                <w:szCs w:val="24"/>
              </w:rPr>
            </w:pPr>
            <w:r>
              <w:rPr>
                <w:rFonts w:hint="eastAsia" w:ascii="仿宋_GB2312"/>
                <w:sz w:val="24"/>
                <w:szCs w:val="24"/>
              </w:rPr>
              <w:t>项</w:t>
            </w:r>
          </w:p>
        </w:tc>
        <w:tc>
          <w:tcPr>
            <w:tcW w:w="851" w:type="dxa"/>
            <w:noWrap w:val="0"/>
            <w:tcMar>
              <w:top w:w="8" w:type="dxa"/>
              <w:left w:w="8"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574" w:type="dxa"/>
            <w:noWrap w:val="0"/>
            <w:tcMar>
              <w:top w:w="8" w:type="dxa"/>
              <w:left w:w="8" w:type="dxa"/>
              <w:right w:w="8" w:type="dxa"/>
            </w:tcMar>
            <w:vAlign w:val="center"/>
          </w:tcPr>
          <w:p>
            <w:pPr>
              <w:overflowPunct w:val="0"/>
              <w:contextualSpacing/>
              <w:rPr>
                <w:rFonts w:hint="eastAsia" w:ascii="仿宋_GB2312"/>
                <w:sz w:val="24"/>
                <w:szCs w:val="24"/>
              </w:rPr>
            </w:pPr>
            <w:r>
              <w:rPr>
                <w:rFonts w:hint="eastAsia" w:ascii="仿宋_GB2312"/>
                <w:sz w:val="24"/>
                <w:szCs w:val="24"/>
              </w:rPr>
              <w:t>社会公益及应急救援情况</w:t>
            </w:r>
          </w:p>
        </w:tc>
        <w:tc>
          <w:tcPr>
            <w:tcW w:w="847" w:type="dxa"/>
            <w:noWrap w:val="0"/>
            <w:tcMar>
              <w:top w:w="8" w:type="dxa"/>
              <w:left w:w="8"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2979" w:type="dxa"/>
            <w:noWrap w:val="0"/>
            <w:tcMar>
              <w:top w:w="8" w:type="dxa"/>
              <w:left w:w="8" w:type="dxa"/>
              <w:right w:w="8" w:type="dxa"/>
            </w:tcMar>
            <w:vAlign w:val="center"/>
          </w:tcPr>
          <w:p>
            <w:pPr>
              <w:overflowPunct w:val="0"/>
              <w:contextualSpacing/>
              <w:rPr>
                <w:rFonts w:hint="eastAsia" w:ascii="仿宋_GB2312"/>
                <w:sz w:val="24"/>
                <w:szCs w:val="24"/>
              </w:rPr>
            </w:pPr>
            <w:r>
              <w:rPr>
                <w:rFonts w:hint="eastAsia" w:ascii="仿宋_GB2312"/>
                <w:sz w:val="24"/>
                <w:szCs w:val="24"/>
                <w:lang w:val="zh-CN"/>
              </w:rPr>
              <w:t>配合处置突发事件、参与应急抢险、自然灾害救援的，1次加10分</w:t>
            </w:r>
            <w:r>
              <w:rPr>
                <w:rFonts w:hint="eastAsia" w:ascii="仿宋_GB2312"/>
                <w:sz w:val="24"/>
                <w:szCs w:val="24"/>
              </w:rPr>
              <w:t>，加满为止。</w:t>
            </w:r>
          </w:p>
        </w:tc>
        <w:tc>
          <w:tcPr>
            <w:tcW w:w="1274" w:type="dxa"/>
            <w:noWrap w:val="0"/>
            <w:tcMar>
              <w:top w:w="8" w:type="dxa"/>
              <w:left w:w="8"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71" w:type="dxa"/>
            <w:gridSpan w:val="6"/>
            <w:noWrap w:val="0"/>
            <w:tcMar>
              <w:top w:w="8" w:type="dxa"/>
              <w:left w:w="8" w:type="dxa"/>
              <w:right w:w="8" w:type="dxa"/>
            </w:tcMar>
            <w:vAlign w:val="center"/>
          </w:tcPr>
          <w:p>
            <w:pPr>
              <w:overflowPunct w:val="0"/>
              <w:contextualSpacing/>
              <w:rPr>
                <w:rFonts w:hint="eastAsia" w:ascii="仿宋_GB2312"/>
                <w:sz w:val="24"/>
                <w:szCs w:val="24"/>
              </w:rPr>
            </w:pPr>
            <w:r>
              <w:rPr>
                <w:rFonts w:hint="eastAsia" w:ascii="仿宋_GB2312"/>
                <w:sz w:val="24"/>
                <w:szCs w:val="24"/>
              </w:rPr>
              <w:t>凡发生以下行为之一的，本年度信用分直接扣500分：</w:t>
            </w:r>
          </w:p>
          <w:p>
            <w:pPr>
              <w:overflowPunct w:val="0"/>
              <w:contextualSpacing/>
              <w:rPr>
                <w:rFonts w:hint="eastAsia" w:ascii="仿宋_GB2312"/>
                <w:sz w:val="24"/>
                <w:szCs w:val="24"/>
              </w:rPr>
            </w:pPr>
            <w:r>
              <w:rPr>
                <w:rFonts w:hint="eastAsia" w:ascii="仿宋_GB2312"/>
                <w:sz w:val="24"/>
                <w:szCs w:val="24"/>
              </w:rPr>
              <w:t>（一）故意瞒报亡人安全责任事故信息的；</w:t>
            </w:r>
          </w:p>
          <w:p>
            <w:pPr>
              <w:overflowPunct w:val="0"/>
              <w:contextualSpacing/>
              <w:rPr>
                <w:rFonts w:hint="eastAsia" w:ascii="仿宋_GB2312"/>
                <w:sz w:val="24"/>
                <w:szCs w:val="24"/>
              </w:rPr>
            </w:pPr>
            <w:r>
              <w:rPr>
                <w:rFonts w:hint="eastAsia" w:ascii="仿宋_GB2312"/>
                <w:sz w:val="24"/>
                <w:szCs w:val="24"/>
              </w:rPr>
              <w:t>（二）组织煽动从业人员进行上访、罢工、闹事，引发群体性事件造成恶劣影响的。</w:t>
            </w:r>
          </w:p>
          <w:p>
            <w:pPr>
              <w:overflowPunct w:val="0"/>
              <w:contextualSpacing/>
              <w:rPr>
                <w:rFonts w:hint="eastAsia" w:ascii="仿宋_GB2312"/>
                <w:sz w:val="24"/>
                <w:szCs w:val="24"/>
              </w:rPr>
            </w:pPr>
            <w:r>
              <w:rPr>
                <w:rFonts w:hint="eastAsia" w:ascii="仿宋_GB2312"/>
                <w:sz w:val="24"/>
                <w:szCs w:val="24"/>
              </w:rPr>
              <w:t>凡发生《浙江省道路运输企业信用管理实施细则》第十二条行为之一的，本年度信用分直接扣500分。</w:t>
            </w:r>
          </w:p>
        </w:tc>
        <w:tc>
          <w:tcPr>
            <w:tcW w:w="1274" w:type="dxa"/>
            <w:noWrap w:val="0"/>
            <w:tcMar>
              <w:top w:w="8" w:type="dxa"/>
              <w:left w:w="8" w:type="dxa"/>
              <w:right w:w="8" w:type="dxa"/>
            </w:tcMar>
            <w:vAlign w:val="center"/>
          </w:tcPr>
          <w:p>
            <w:pPr>
              <w:overflowPunct w:val="0"/>
              <w:contextualSpacing/>
              <w:jc w:val="center"/>
              <w:rPr>
                <w:rFonts w:hint="eastAsia" w:ascii="仿宋_GB2312"/>
                <w:sz w:val="24"/>
                <w:szCs w:val="24"/>
              </w:rPr>
            </w:pPr>
            <w:r>
              <w:rPr>
                <w:rFonts w:hint="eastAsia" w:ascii="仿宋_GB2312"/>
                <w:sz w:val="24"/>
                <w:szCs w:val="24"/>
              </w:rPr>
              <w:t>行业内部</w:t>
            </w:r>
          </w:p>
          <w:p>
            <w:pPr>
              <w:overflowPunct w:val="0"/>
              <w:contextualSpacing/>
              <w:jc w:val="center"/>
              <w:rPr>
                <w:rFonts w:hint="eastAsia" w:ascii="仿宋_GB2312"/>
                <w:sz w:val="24"/>
                <w:szCs w:val="24"/>
              </w:rPr>
            </w:pPr>
            <w:r>
              <w:rPr>
                <w:rFonts w:hint="eastAsia" w:ascii="仿宋_GB2312"/>
                <w:sz w:val="24"/>
                <w:szCs w:val="24"/>
              </w:rPr>
              <w:t>数据共享或手工录入</w:t>
            </w:r>
          </w:p>
        </w:tc>
      </w:tr>
    </w:tbl>
    <w:p>
      <w:pPr>
        <w:overflowPunct w:val="0"/>
        <w:spacing w:line="360" w:lineRule="exact"/>
        <w:ind w:firstLine="480" w:firstLineChars="200"/>
        <w:rPr>
          <w:rFonts w:hint="eastAsia" w:ascii="仿宋_GB2312"/>
          <w:sz w:val="24"/>
          <w:szCs w:val="28"/>
        </w:rPr>
      </w:pPr>
      <w:r>
        <w:rPr>
          <w:rFonts w:hint="eastAsia" w:ascii="仿宋_GB2312"/>
          <w:sz w:val="24"/>
          <w:szCs w:val="28"/>
        </w:rPr>
        <w:t>注：关于手工录入部分市、县分工说明</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除被媒体曝光负面事件由市级交通运输部门负责外，其他手工录入数据按照信息来源，由市、县分别录入。具体说明如下：</w:t>
      </w:r>
    </w:p>
    <w:p>
      <w:pPr>
        <w:overflowPunct w:val="0"/>
        <w:spacing w:line="360" w:lineRule="exact"/>
        <w:ind w:firstLine="480" w:firstLineChars="200"/>
        <w:rPr>
          <w:rFonts w:hint="eastAsia" w:ascii="仿宋_GB2312"/>
          <w:sz w:val="24"/>
          <w:szCs w:val="28"/>
        </w:rPr>
      </w:pPr>
      <w:r>
        <w:rPr>
          <w:rFonts w:hint="eastAsia" w:ascii="仿宋_GB2312"/>
          <w:sz w:val="24"/>
          <w:szCs w:val="28"/>
        </w:rPr>
        <w:t>1. 获得省部级以上荣誉称号的，由省级相关部门录入；</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2. 被市级12345/12328投诉信息、发生恶劣群体性事件、红黑名单认定行为的，由市级相关部门录入；</w:t>
      </w:r>
    </w:p>
    <w:p>
      <w:pPr>
        <w:overflowPunct w:val="0"/>
        <w:autoSpaceDE w:val="0"/>
        <w:adjustRightInd w:val="0"/>
        <w:spacing w:line="360" w:lineRule="exact"/>
        <w:ind w:firstLine="480" w:firstLineChars="200"/>
        <w:rPr>
          <w:rFonts w:hint="eastAsia" w:ascii="仿宋_GB2312"/>
          <w:sz w:val="24"/>
          <w:szCs w:val="28"/>
        </w:rPr>
      </w:pPr>
      <w:r>
        <w:rPr>
          <w:rFonts w:hint="eastAsia" w:ascii="仿宋_GB2312"/>
          <w:sz w:val="24"/>
          <w:szCs w:val="28"/>
        </w:rPr>
        <w:t>3. 被县级12345/12328投诉信息、事故相关信息、参与社会公益及应急救援等信息的，由县级相关部门录入。</w:t>
      </w:r>
    </w:p>
    <w:p>
      <w:pPr>
        <w:overflowPunct w:val="0"/>
        <w:autoSpaceDE w:val="0"/>
        <w:adjustRightInd w:val="0"/>
        <w:spacing w:line="590" w:lineRule="exact"/>
        <w:ind w:firstLine="640" w:firstLineChars="200"/>
        <w:rPr>
          <w:szCs w:val="32"/>
        </w:rPr>
      </w:pPr>
    </w:p>
    <w:p>
      <w:pPr>
        <w:overflowPunct w:val="0"/>
        <w:spacing w:line="580" w:lineRule="exact"/>
        <w:rPr>
          <w:rFonts w:ascii="黑体" w:hAnsi="黑体" w:eastAsia="黑体"/>
          <w:szCs w:val="32"/>
        </w:rPr>
      </w:pPr>
      <w:r>
        <w:rPr>
          <w:rFonts w:hAnsi="黑体" w:eastAsia="黑体"/>
          <w:szCs w:val="32"/>
        </w:rPr>
        <w:br w:type="page"/>
      </w:r>
      <w:r>
        <w:rPr>
          <w:rFonts w:ascii="黑体" w:hAnsi="黑体" w:eastAsia="黑体"/>
          <w:szCs w:val="32"/>
        </w:rPr>
        <w:t>附件2</w:t>
      </w:r>
    </w:p>
    <w:p>
      <w:pPr>
        <w:overflowPunct w:val="0"/>
        <w:spacing w:line="580" w:lineRule="exact"/>
        <w:jc w:val="center"/>
        <w:rPr>
          <w:rFonts w:hint="eastAsia" w:ascii="方正小标宋简体" w:eastAsia="方正小标宋简体"/>
          <w:sz w:val="44"/>
          <w:szCs w:val="44"/>
        </w:rPr>
      </w:pPr>
    </w:p>
    <w:p>
      <w:pPr>
        <w:overflowPunct w:val="0"/>
        <w:spacing w:line="580" w:lineRule="exact"/>
        <w:jc w:val="center"/>
        <w:rPr>
          <w:rFonts w:ascii="方正小标宋简体" w:eastAsia="方正小标宋简体"/>
          <w:sz w:val="44"/>
          <w:szCs w:val="44"/>
        </w:rPr>
      </w:pPr>
      <w:r>
        <w:rPr>
          <w:rFonts w:ascii="方正小标宋简体" w:eastAsia="方正小标宋简体"/>
          <w:sz w:val="44"/>
          <w:szCs w:val="44"/>
        </w:rPr>
        <w:t>浙江省道路运输从业人员信用管理实施细则</w:t>
      </w:r>
    </w:p>
    <w:p>
      <w:pPr>
        <w:overflowPunct w:val="0"/>
        <w:spacing w:line="580" w:lineRule="exact"/>
        <w:ind w:firstLine="640" w:firstLineChars="200"/>
        <w:rPr>
          <w:szCs w:val="32"/>
        </w:rPr>
      </w:pPr>
    </w:p>
    <w:p>
      <w:pPr>
        <w:overflowPunct w:val="0"/>
        <w:spacing w:line="580" w:lineRule="exact"/>
        <w:ind w:firstLine="640" w:firstLineChars="200"/>
        <w:rPr>
          <w:rFonts w:hint="eastAsia" w:ascii="仿宋_GB2312"/>
          <w:szCs w:val="32"/>
        </w:rPr>
      </w:pPr>
      <w:r>
        <w:rPr>
          <w:rFonts w:hint="eastAsia" w:ascii="仿宋_GB2312"/>
          <w:szCs w:val="32"/>
        </w:rPr>
        <w:t>为推进道路运输从业人员信用体系建设，营造诚信经营环境，根据《道路运输从业人员管理规定》《浙江省道路运输条例》和《道路运输驾驶员诚信考核办法（试行）》（交公路发〔2008〕280号）等有关规定，结合全省道路运输从业人员管理实际，制定本细则。</w:t>
      </w:r>
    </w:p>
    <w:p>
      <w:pPr>
        <w:overflowPunct w:val="0"/>
        <w:spacing w:line="580" w:lineRule="exact"/>
        <w:ind w:firstLine="640" w:firstLineChars="200"/>
        <w:rPr>
          <w:rFonts w:ascii="黑体" w:hAnsi="黑体" w:eastAsia="黑体"/>
          <w:szCs w:val="32"/>
        </w:rPr>
      </w:pPr>
      <w:r>
        <w:rPr>
          <w:rFonts w:ascii="黑体" w:hAnsi="黑体" w:eastAsia="黑体"/>
          <w:szCs w:val="32"/>
        </w:rPr>
        <w:t>一、适用范围</w:t>
      </w:r>
    </w:p>
    <w:p>
      <w:pPr>
        <w:overflowPunct w:val="0"/>
        <w:spacing w:line="580" w:lineRule="exact"/>
        <w:ind w:firstLine="640" w:firstLineChars="200"/>
        <w:rPr>
          <w:rFonts w:hint="eastAsia"/>
          <w:szCs w:val="32"/>
        </w:rPr>
      </w:pPr>
      <w:r>
        <w:rPr>
          <w:szCs w:val="32"/>
        </w:rPr>
        <w:t>本细则适用于对道路运输从业人员的信用信息采集、归集、共享、评价、应用等管理工作。</w:t>
      </w:r>
    </w:p>
    <w:p>
      <w:pPr>
        <w:overflowPunct w:val="0"/>
        <w:spacing w:line="580" w:lineRule="exact"/>
        <w:ind w:firstLine="640" w:firstLineChars="200"/>
        <w:rPr>
          <w:szCs w:val="32"/>
        </w:rPr>
      </w:pPr>
      <w:r>
        <w:rPr>
          <w:szCs w:val="32"/>
        </w:rPr>
        <w:t>细则中的道路运输从业人员，是指我省核发道路运输从业资格证的驾驶员、道路危险货物运输押运员以及机动车驾驶员培训教练员。出租汽车驾驶员信用评价按照交通运输部有关规定执行。</w:t>
      </w:r>
    </w:p>
    <w:p>
      <w:pPr>
        <w:overflowPunct w:val="0"/>
        <w:spacing w:line="580" w:lineRule="exact"/>
        <w:ind w:firstLine="640" w:firstLineChars="200"/>
        <w:rPr>
          <w:rFonts w:ascii="黑体" w:hAnsi="黑体" w:eastAsia="黑体"/>
          <w:szCs w:val="32"/>
        </w:rPr>
      </w:pPr>
      <w:r>
        <w:rPr>
          <w:rFonts w:ascii="黑体" w:hAnsi="黑体" w:eastAsia="黑体"/>
          <w:szCs w:val="32"/>
        </w:rPr>
        <w:t>二、道路运输从业人员信用信息归集</w:t>
      </w:r>
    </w:p>
    <w:p>
      <w:pPr>
        <w:overflowPunct w:val="0"/>
        <w:spacing w:line="580" w:lineRule="exact"/>
        <w:ind w:firstLine="640" w:firstLineChars="200"/>
        <w:rPr>
          <w:szCs w:val="32"/>
        </w:rPr>
      </w:pPr>
      <w:r>
        <w:rPr>
          <w:rFonts w:eastAsia="楷体_GB2312"/>
          <w:szCs w:val="32"/>
        </w:rPr>
        <w:t>（一）道路运输从业人员基础信息主要包括：</w:t>
      </w:r>
      <w:r>
        <w:rPr>
          <w:szCs w:val="32"/>
        </w:rPr>
        <w:t>从业人员姓名、性别、身份证号码、住址、联系电话、服务单位、准驾车型、从业（职业）资格类别、从业（职业）资格证件号码、从业（职业）资格证件初领日期和变更记录等。</w:t>
      </w:r>
    </w:p>
    <w:p>
      <w:pPr>
        <w:overflowPunct w:val="0"/>
        <w:spacing w:line="580" w:lineRule="exact"/>
        <w:ind w:firstLine="640" w:firstLineChars="200"/>
        <w:rPr>
          <w:rFonts w:hint="eastAsia"/>
          <w:szCs w:val="32"/>
        </w:rPr>
      </w:pPr>
      <w:r>
        <w:rPr>
          <w:rFonts w:eastAsia="楷体_GB2312"/>
          <w:szCs w:val="32"/>
        </w:rPr>
        <w:t>（二）道路运输从业人员不良信息主要包括：</w:t>
      </w:r>
      <w:r>
        <w:rPr>
          <w:szCs w:val="32"/>
        </w:rPr>
        <w:t>对信息主体信用状况构成负面影响的公共信用信息。主要包括安全生产记录、遵守法规情况、服务质量记录等有关情况。</w:t>
      </w:r>
    </w:p>
    <w:p>
      <w:pPr>
        <w:overflowPunct w:val="0"/>
        <w:spacing w:line="580" w:lineRule="exact"/>
        <w:ind w:firstLine="640" w:firstLineChars="200"/>
        <w:rPr>
          <w:szCs w:val="32"/>
        </w:rPr>
      </w:pPr>
      <w:r>
        <w:rPr>
          <w:szCs w:val="32"/>
        </w:rPr>
        <w:t>道路运输从业人员信用管理应</w:t>
      </w:r>
      <w:r>
        <w:rPr>
          <w:rFonts w:hint="eastAsia"/>
          <w:szCs w:val="32"/>
        </w:rPr>
        <w:t>通过</w:t>
      </w:r>
      <w:r>
        <w:rPr>
          <w:szCs w:val="32"/>
        </w:rPr>
        <w:t>省级信用综合管理系统建立电子信用档案。</w:t>
      </w:r>
    </w:p>
    <w:p>
      <w:pPr>
        <w:overflowPunct w:val="0"/>
        <w:spacing w:line="580" w:lineRule="exact"/>
        <w:ind w:firstLine="640" w:firstLineChars="200"/>
        <w:rPr>
          <w:rFonts w:ascii="黑体" w:hAnsi="黑体" w:eastAsia="黑体"/>
          <w:szCs w:val="32"/>
        </w:rPr>
      </w:pPr>
      <w:r>
        <w:rPr>
          <w:rFonts w:ascii="黑体" w:hAnsi="黑体" w:eastAsia="黑体"/>
          <w:szCs w:val="32"/>
        </w:rPr>
        <w:t>三、道路运输从业人员信用评价</w:t>
      </w:r>
    </w:p>
    <w:p>
      <w:pPr>
        <w:overflowPunct w:val="0"/>
        <w:spacing w:line="580" w:lineRule="exact"/>
        <w:ind w:firstLine="640" w:firstLineChars="200"/>
        <w:rPr>
          <w:rFonts w:hint="eastAsia" w:ascii="仿宋_GB2312"/>
          <w:szCs w:val="32"/>
        </w:rPr>
      </w:pPr>
      <w:r>
        <w:rPr>
          <w:rFonts w:hint="eastAsia" w:ascii="仿宋_GB2312"/>
          <w:szCs w:val="32"/>
        </w:rPr>
        <w:t>道路运输从业人员信用等级分为优良、合格、基本合格和不合格四个等级，分别用AAA级、AA级、A级和B级表示。</w:t>
      </w:r>
    </w:p>
    <w:p>
      <w:pPr>
        <w:overflowPunct w:val="0"/>
        <w:spacing w:line="580" w:lineRule="exact"/>
        <w:ind w:firstLine="640" w:firstLineChars="200"/>
        <w:rPr>
          <w:rFonts w:hint="eastAsia" w:ascii="仿宋_GB2312"/>
          <w:szCs w:val="32"/>
        </w:rPr>
      </w:pPr>
      <w:r>
        <w:rPr>
          <w:rFonts w:hint="eastAsia" w:ascii="仿宋_GB2312"/>
          <w:szCs w:val="32"/>
        </w:rPr>
        <w:t>道路运输从业人员信用评价实行扣分制，满分为20分，评价周期为12个月，从道路运输从业人员初次领取从业资格证件之日起计算。一个评价周期届满，经签注信用等级后，该评价周期内的扣分予以清除，不转入下一个评价周期。</w:t>
      </w:r>
    </w:p>
    <w:p>
      <w:pPr>
        <w:overflowPunct w:val="0"/>
        <w:spacing w:line="580" w:lineRule="exact"/>
        <w:ind w:firstLine="640" w:firstLineChars="200"/>
        <w:rPr>
          <w:rFonts w:hint="eastAsia" w:ascii="仿宋_GB2312"/>
          <w:szCs w:val="32"/>
        </w:rPr>
      </w:pPr>
      <w:r>
        <w:rPr>
          <w:rFonts w:hint="eastAsia" w:ascii="仿宋_GB2312"/>
          <w:szCs w:val="32"/>
        </w:rPr>
        <w:t>道路运输从业人员信用评价等级，按照下列标准进行评定：</w:t>
      </w:r>
    </w:p>
    <w:p>
      <w:pPr>
        <w:overflowPunct w:val="0"/>
        <w:spacing w:line="580" w:lineRule="exact"/>
        <w:ind w:firstLine="640" w:firstLineChars="200"/>
        <w:rPr>
          <w:rFonts w:hint="eastAsia" w:ascii="楷体_GB2312" w:eastAsia="楷体_GB2312"/>
          <w:szCs w:val="32"/>
        </w:rPr>
      </w:pPr>
      <w:r>
        <w:rPr>
          <w:rFonts w:hint="eastAsia" w:ascii="楷体_GB2312" w:eastAsia="楷体_GB2312"/>
          <w:szCs w:val="32"/>
        </w:rPr>
        <w:t>（一）具备以下条件的，评价等级为AAA级</w:t>
      </w:r>
    </w:p>
    <w:p>
      <w:pPr>
        <w:overflowPunct w:val="0"/>
        <w:spacing w:line="580" w:lineRule="exact"/>
        <w:ind w:firstLine="640" w:firstLineChars="200"/>
        <w:rPr>
          <w:rFonts w:hint="eastAsia" w:ascii="仿宋_GB2312"/>
          <w:szCs w:val="32"/>
        </w:rPr>
      </w:pPr>
      <w:r>
        <w:rPr>
          <w:rFonts w:hint="eastAsia" w:ascii="仿宋_GB2312"/>
          <w:szCs w:val="32"/>
        </w:rPr>
        <w:t>1.上一评价周期的评价等级为AA级及以上；</w:t>
      </w:r>
    </w:p>
    <w:p>
      <w:pPr>
        <w:overflowPunct w:val="0"/>
        <w:spacing w:line="580" w:lineRule="exact"/>
        <w:ind w:firstLine="640" w:firstLineChars="200"/>
        <w:rPr>
          <w:rFonts w:hint="eastAsia" w:ascii="仿宋_GB2312"/>
          <w:szCs w:val="32"/>
        </w:rPr>
      </w:pPr>
      <w:r>
        <w:rPr>
          <w:rFonts w:hint="eastAsia" w:ascii="仿宋_GB2312"/>
          <w:szCs w:val="32"/>
        </w:rPr>
        <w:t>2.评价周期内累计扣分分值为0分。</w:t>
      </w:r>
    </w:p>
    <w:p>
      <w:pPr>
        <w:overflowPunct w:val="0"/>
        <w:spacing w:line="580" w:lineRule="exact"/>
        <w:ind w:firstLine="640" w:firstLineChars="200"/>
        <w:rPr>
          <w:rFonts w:ascii="楷体_GB2312" w:eastAsia="楷体_GB2312"/>
          <w:szCs w:val="32"/>
        </w:rPr>
      </w:pPr>
      <w:r>
        <w:rPr>
          <w:rFonts w:ascii="楷体_GB2312" w:eastAsia="楷体_GB2312"/>
          <w:szCs w:val="32"/>
        </w:rPr>
        <w:t>（二）具备以下条件的，评价等级为AA级</w:t>
      </w:r>
    </w:p>
    <w:p>
      <w:pPr>
        <w:overflowPunct w:val="0"/>
        <w:spacing w:line="580" w:lineRule="exact"/>
        <w:ind w:firstLine="640" w:firstLineChars="200"/>
        <w:rPr>
          <w:rFonts w:ascii="仿宋_GB2312"/>
          <w:szCs w:val="32"/>
        </w:rPr>
      </w:pPr>
      <w:r>
        <w:rPr>
          <w:rFonts w:ascii="仿宋_GB2312"/>
          <w:szCs w:val="32"/>
        </w:rPr>
        <w:t>1</w:t>
      </w:r>
      <w:r>
        <w:rPr>
          <w:rFonts w:hint="eastAsia" w:ascii="仿宋_GB2312"/>
          <w:szCs w:val="32"/>
        </w:rPr>
        <w:t>.</w:t>
      </w:r>
      <w:r>
        <w:rPr>
          <w:rFonts w:ascii="仿宋_GB2312"/>
          <w:szCs w:val="32"/>
        </w:rPr>
        <w:t>未达到AAA级的评价条件；</w:t>
      </w:r>
    </w:p>
    <w:p>
      <w:pPr>
        <w:overflowPunct w:val="0"/>
        <w:spacing w:line="580" w:lineRule="exact"/>
        <w:ind w:firstLine="640" w:firstLineChars="200"/>
        <w:rPr>
          <w:rFonts w:ascii="仿宋_GB2312"/>
          <w:szCs w:val="32"/>
        </w:rPr>
      </w:pPr>
      <w:r>
        <w:rPr>
          <w:rFonts w:ascii="仿宋_GB2312"/>
          <w:szCs w:val="32"/>
        </w:rPr>
        <w:t>2</w:t>
      </w:r>
      <w:r>
        <w:rPr>
          <w:rFonts w:hint="eastAsia" w:ascii="仿宋_GB2312"/>
          <w:szCs w:val="32"/>
        </w:rPr>
        <w:t>.</w:t>
      </w:r>
      <w:r>
        <w:rPr>
          <w:rFonts w:ascii="仿宋_GB2312"/>
          <w:szCs w:val="32"/>
        </w:rPr>
        <w:t>上一评价周期的评价等级为A级及以上；</w:t>
      </w:r>
    </w:p>
    <w:p>
      <w:pPr>
        <w:overflowPunct w:val="0"/>
        <w:spacing w:line="580" w:lineRule="exact"/>
        <w:ind w:firstLine="640" w:firstLineChars="200"/>
        <w:rPr>
          <w:rFonts w:ascii="仿宋_GB2312"/>
          <w:szCs w:val="32"/>
        </w:rPr>
      </w:pPr>
      <w:r>
        <w:rPr>
          <w:rFonts w:ascii="仿宋_GB2312"/>
          <w:szCs w:val="32"/>
        </w:rPr>
        <w:t>3</w:t>
      </w:r>
      <w:r>
        <w:rPr>
          <w:rFonts w:hint="eastAsia" w:ascii="仿宋_GB2312"/>
          <w:szCs w:val="32"/>
        </w:rPr>
        <w:t>.</w:t>
      </w:r>
      <w:r>
        <w:rPr>
          <w:rFonts w:ascii="仿宋_GB2312"/>
          <w:szCs w:val="32"/>
        </w:rPr>
        <w:t>评价周期内累计扣分分值10分（不含）以下的。</w:t>
      </w:r>
    </w:p>
    <w:p>
      <w:pPr>
        <w:overflowPunct w:val="0"/>
        <w:spacing w:line="580" w:lineRule="exact"/>
        <w:ind w:firstLine="640" w:firstLineChars="200"/>
        <w:rPr>
          <w:rFonts w:ascii="楷体_GB2312" w:eastAsia="楷体_GB2312"/>
          <w:szCs w:val="32"/>
        </w:rPr>
      </w:pPr>
      <w:r>
        <w:rPr>
          <w:rFonts w:ascii="楷体_GB2312" w:eastAsia="楷体_GB2312"/>
          <w:szCs w:val="32"/>
        </w:rPr>
        <w:t>（三）具备以下条件的，评价等级为A级</w:t>
      </w:r>
    </w:p>
    <w:p>
      <w:pPr>
        <w:overflowPunct w:val="0"/>
        <w:spacing w:line="580" w:lineRule="exact"/>
        <w:ind w:firstLine="640" w:firstLineChars="200"/>
        <w:rPr>
          <w:rFonts w:ascii="仿宋_GB2312"/>
          <w:szCs w:val="32"/>
        </w:rPr>
      </w:pPr>
      <w:r>
        <w:rPr>
          <w:rFonts w:ascii="仿宋_GB2312"/>
          <w:szCs w:val="32"/>
        </w:rPr>
        <w:t>1</w:t>
      </w:r>
      <w:r>
        <w:rPr>
          <w:rFonts w:hint="eastAsia" w:ascii="仿宋_GB2312"/>
          <w:szCs w:val="32"/>
        </w:rPr>
        <w:t>.</w:t>
      </w:r>
      <w:r>
        <w:rPr>
          <w:rFonts w:ascii="仿宋_GB2312"/>
          <w:szCs w:val="32"/>
        </w:rPr>
        <w:t>未达到AA级的评价条件；</w:t>
      </w:r>
    </w:p>
    <w:p>
      <w:pPr>
        <w:overflowPunct w:val="0"/>
        <w:spacing w:line="580" w:lineRule="exact"/>
        <w:ind w:firstLine="640" w:firstLineChars="200"/>
        <w:rPr>
          <w:rFonts w:ascii="仿宋_GB2312"/>
          <w:szCs w:val="32"/>
        </w:rPr>
      </w:pPr>
      <w:r>
        <w:rPr>
          <w:rFonts w:ascii="仿宋_GB2312"/>
          <w:szCs w:val="32"/>
        </w:rPr>
        <w:t>2</w:t>
      </w:r>
      <w:r>
        <w:rPr>
          <w:rFonts w:hint="eastAsia" w:ascii="仿宋_GB2312"/>
          <w:szCs w:val="32"/>
        </w:rPr>
        <w:t>.</w:t>
      </w:r>
      <w:r>
        <w:rPr>
          <w:rFonts w:ascii="仿宋_GB2312"/>
          <w:szCs w:val="32"/>
        </w:rPr>
        <w:t>评价周期内累计扣分分值20分（不含）以下的。</w:t>
      </w:r>
    </w:p>
    <w:p>
      <w:pPr>
        <w:overflowPunct w:val="0"/>
        <w:spacing w:line="580" w:lineRule="exact"/>
        <w:ind w:firstLine="640" w:firstLineChars="200"/>
        <w:rPr>
          <w:rFonts w:ascii="楷体_GB2312" w:eastAsia="楷体_GB2312"/>
          <w:szCs w:val="32"/>
        </w:rPr>
      </w:pPr>
      <w:r>
        <w:rPr>
          <w:rFonts w:ascii="楷体_GB2312" w:eastAsia="楷体_GB2312"/>
          <w:szCs w:val="32"/>
        </w:rPr>
        <w:t>（四）道路运输驾驶员考核周期内累计扣分有20分及以上记录的，诚信考核等级为B级</w:t>
      </w:r>
    </w:p>
    <w:p>
      <w:pPr>
        <w:overflowPunct w:val="0"/>
        <w:spacing w:line="580" w:lineRule="exact"/>
        <w:ind w:firstLine="640" w:firstLineChars="200"/>
        <w:rPr>
          <w:szCs w:val="32"/>
        </w:rPr>
      </w:pPr>
      <w:r>
        <w:rPr>
          <w:rFonts w:ascii="楷体_GB2312" w:eastAsia="楷体_GB2312"/>
          <w:szCs w:val="32"/>
        </w:rPr>
        <w:t>（五）道路运输从业人员的信用评价周期及公示公布。</w:t>
      </w:r>
      <w:r>
        <w:rPr>
          <w:rFonts w:ascii="仿宋_GB2312"/>
          <w:szCs w:val="32"/>
        </w:rPr>
        <w:t>市级交通运输部门应当于每月5日前将本行政区域从业人员信用等级初评结果，在浙江信用交通网站公示。公示结束后，在月底前将从业人员的信用等级评定结果向社会公布。</w:t>
      </w:r>
    </w:p>
    <w:p>
      <w:pPr>
        <w:overflowPunct w:val="0"/>
        <w:spacing w:line="580" w:lineRule="exact"/>
        <w:ind w:firstLine="640" w:firstLineChars="200"/>
        <w:rPr>
          <w:rFonts w:ascii="黑体" w:hAnsi="黑体" w:eastAsia="黑体"/>
          <w:szCs w:val="32"/>
        </w:rPr>
      </w:pPr>
      <w:r>
        <w:rPr>
          <w:rFonts w:ascii="黑体" w:hAnsi="黑体" w:eastAsia="黑体"/>
          <w:szCs w:val="32"/>
        </w:rPr>
        <w:t>四、</w:t>
      </w:r>
      <w:bookmarkStart w:id="3" w:name="_Hlk65242534"/>
      <w:r>
        <w:rPr>
          <w:rFonts w:ascii="黑体" w:hAnsi="黑体" w:eastAsia="黑体"/>
          <w:szCs w:val="32"/>
        </w:rPr>
        <w:t>道路运输从业人员信用结果应用</w:t>
      </w:r>
      <w:bookmarkEnd w:id="3"/>
    </w:p>
    <w:p>
      <w:pPr>
        <w:overflowPunct w:val="0"/>
        <w:spacing w:line="580" w:lineRule="exact"/>
        <w:ind w:firstLine="640" w:firstLineChars="200"/>
        <w:rPr>
          <w:rFonts w:hint="eastAsia" w:ascii="仿宋_GB2312"/>
          <w:szCs w:val="32"/>
        </w:rPr>
      </w:pPr>
      <w:r>
        <w:rPr>
          <w:rFonts w:hint="eastAsia" w:ascii="仿宋_GB2312"/>
          <w:szCs w:val="32"/>
        </w:rPr>
        <w:t>（一）道路运输从业人员在考核周期内累计扣分达到20分的，应当在扣满20分之日起15日内，到档案所在地有培训资格的机构，接受不少于18个学时的道路运输法规、职业道德和安全知识等内容学习。</w:t>
      </w:r>
    </w:p>
    <w:p>
      <w:pPr>
        <w:overflowPunct w:val="0"/>
        <w:spacing w:line="580" w:lineRule="exact"/>
        <w:ind w:firstLine="640" w:firstLineChars="200"/>
        <w:rPr>
          <w:rFonts w:hint="eastAsia" w:ascii="仿宋_GB2312"/>
          <w:szCs w:val="32"/>
        </w:rPr>
      </w:pPr>
      <w:r>
        <w:rPr>
          <w:rFonts w:hint="eastAsia" w:ascii="仿宋_GB2312"/>
          <w:szCs w:val="32"/>
        </w:rPr>
        <w:t>（二）对信用等级为B级的道路运输从业人员，依据国家相关法律法规，作以下处理：道路运输经营者应当加强对本单位所属的信用等级为B级的从业人员的教育和管理，对存在重大安全隐患的，应当及时调离驾驶员工作岗位；对信用等级为B级的从业人员，避免其承担具有重大政治和国防战备意义、社会影响大、安全风险高的运输生产任务；避免其承担黄金周和春运期间的相关运输服务。</w:t>
      </w:r>
    </w:p>
    <w:p>
      <w:pPr>
        <w:overflowPunct w:val="0"/>
        <w:spacing w:line="580" w:lineRule="exact"/>
        <w:ind w:firstLine="640" w:firstLineChars="200"/>
        <w:rPr>
          <w:rFonts w:hint="eastAsia" w:ascii="仿宋_GB2312"/>
          <w:szCs w:val="32"/>
        </w:rPr>
      </w:pPr>
      <w:r>
        <w:rPr>
          <w:rFonts w:hint="eastAsia" w:ascii="仿宋_GB2312"/>
          <w:szCs w:val="32"/>
        </w:rPr>
        <w:t>（三）道路运输从业人员存在以下情形之一的，应当根据《国务院关于特大安全事故行政责任追究的规定》，依法撤销其从业资格证件：连续三个评价周期信用等级均为Ｂ级；在一个考核周期内累计扣分有三次以上达到20分。</w:t>
      </w:r>
    </w:p>
    <w:p>
      <w:pPr>
        <w:overflowPunct w:val="0"/>
        <w:spacing w:line="580" w:lineRule="exact"/>
        <w:ind w:firstLine="640" w:firstLineChars="200"/>
        <w:rPr>
          <w:rFonts w:hint="eastAsia" w:ascii="仿宋_GB2312"/>
          <w:szCs w:val="32"/>
        </w:rPr>
      </w:pPr>
      <w:r>
        <w:rPr>
          <w:rFonts w:hint="eastAsia" w:ascii="仿宋_GB2312"/>
          <w:szCs w:val="32"/>
        </w:rPr>
        <w:t>（四）县级以上交通运输部门应当引导道路运输经营者优先聘用信用等级高的从业人员，在行业相关荣誉表彰、评先评优时优先考虑AAA级从业人员，在经营者招标投标等文件中可以设置针对AAA级从业人员的加分项。</w:t>
      </w:r>
    </w:p>
    <w:p>
      <w:pPr>
        <w:overflowPunct w:val="0"/>
        <w:spacing w:line="580" w:lineRule="exact"/>
        <w:ind w:firstLine="640" w:firstLineChars="200"/>
        <w:rPr>
          <w:rFonts w:hint="eastAsia" w:ascii="仿宋_GB2312"/>
          <w:szCs w:val="32"/>
        </w:rPr>
      </w:pPr>
    </w:p>
    <w:p>
      <w:pPr>
        <w:overflowPunct w:val="0"/>
        <w:spacing w:line="580" w:lineRule="exact"/>
        <w:ind w:firstLine="640" w:firstLineChars="200"/>
        <w:rPr>
          <w:rFonts w:hint="eastAsia" w:ascii="仿宋_GB2312"/>
          <w:szCs w:val="32"/>
        </w:rPr>
      </w:pPr>
      <w:r>
        <w:rPr>
          <w:rFonts w:hint="eastAsia" w:ascii="仿宋_GB2312"/>
          <w:szCs w:val="32"/>
        </w:rPr>
        <w:t>附表：道路运输从业人员信用评价评分标准</w:t>
      </w:r>
    </w:p>
    <w:p>
      <w:pPr>
        <w:overflowPunct w:val="0"/>
        <w:spacing w:line="590" w:lineRule="exact"/>
        <w:ind w:firstLine="640" w:firstLineChars="200"/>
        <w:rPr>
          <w:szCs w:val="32"/>
        </w:rPr>
      </w:pPr>
    </w:p>
    <w:p>
      <w:pPr>
        <w:overflowPunct w:val="0"/>
        <w:spacing w:line="590" w:lineRule="exact"/>
        <w:rPr>
          <w:rFonts w:hAnsi="黑体" w:eastAsia="黑体"/>
          <w:szCs w:val="32"/>
        </w:rPr>
      </w:pPr>
      <w:r>
        <w:rPr>
          <w:rFonts w:hAnsi="黑体" w:eastAsia="黑体"/>
          <w:szCs w:val="32"/>
        </w:rPr>
        <w:br w:type="page"/>
      </w:r>
      <w:r>
        <w:rPr>
          <w:rFonts w:hAnsi="黑体" w:eastAsia="黑体"/>
          <w:szCs w:val="32"/>
        </w:rPr>
        <w:t>附</w:t>
      </w:r>
      <w:r>
        <w:rPr>
          <w:rFonts w:hint="eastAsia" w:hAnsi="黑体" w:eastAsia="黑体"/>
          <w:szCs w:val="32"/>
        </w:rPr>
        <w:t>表</w:t>
      </w:r>
    </w:p>
    <w:p>
      <w:pPr>
        <w:overflowPunct w:val="0"/>
        <w:spacing w:line="590" w:lineRule="exact"/>
        <w:jc w:val="center"/>
        <w:rPr>
          <w:rFonts w:hint="eastAsia" w:ascii="方正小标宋简体" w:eastAsia="方正小标宋简体"/>
          <w:sz w:val="44"/>
          <w:szCs w:val="44"/>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道路运输从业人员信用评价评分标准</w:t>
      </w:r>
    </w:p>
    <w:p>
      <w:pPr>
        <w:overflowPunct w:val="0"/>
        <w:spacing w:line="59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143"/>
        <w:gridCol w:w="2757"/>
        <w:gridCol w:w="3512"/>
        <w:gridCol w:w="1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143" w:type="dxa"/>
            <w:noWrap w:val="0"/>
            <w:vAlign w:val="center"/>
          </w:tcPr>
          <w:p>
            <w:pPr>
              <w:overflowPunct w:val="0"/>
              <w:contextualSpacing/>
              <w:jc w:val="center"/>
              <w:rPr>
                <w:rFonts w:ascii="黑体" w:hAnsi="黑体" w:eastAsia="黑体"/>
                <w:sz w:val="24"/>
                <w:szCs w:val="24"/>
              </w:rPr>
            </w:pPr>
            <w:r>
              <w:rPr>
                <w:rFonts w:ascii="黑体" w:hAnsi="黑体" w:eastAsia="黑体"/>
                <w:sz w:val="24"/>
                <w:szCs w:val="24"/>
              </w:rPr>
              <w:t>项目</w:t>
            </w:r>
          </w:p>
        </w:tc>
        <w:tc>
          <w:tcPr>
            <w:tcW w:w="2757" w:type="dxa"/>
            <w:noWrap w:val="0"/>
            <w:vAlign w:val="center"/>
          </w:tcPr>
          <w:p>
            <w:pPr>
              <w:overflowPunct w:val="0"/>
              <w:contextualSpacing/>
              <w:jc w:val="center"/>
              <w:rPr>
                <w:rFonts w:ascii="黑体" w:hAnsi="黑体" w:eastAsia="黑体"/>
                <w:sz w:val="24"/>
                <w:szCs w:val="24"/>
              </w:rPr>
            </w:pPr>
            <w:r>
              <w:rPr>
                <w:rFonts w:ascii="黑体" w:hAnsi="黑体" w:eastAsia="黑体"/>
                <w:sz w:val="24"/>
                <w:szCs w:val="24"/>
              </w:rPr>
              <w:t>内</w:t>
            </w:r>
            <w:r>
              <w:rPr>
                <w:rFonts w:hint="eastAsia" w:ascii="黑体" w:hAnsi="黑体" w:eastAsia="黑体"/>
                <w:sz w:val="24"/>
                <w:szCs w:val="24"/>
              </w:rPr>
              <w:t xml:space="preserve">    </w:t>
            </w:r>
            <w:r>
              <w:rPr>
                <w:rFonts w:ascii="黑体" w:hAnsi="黑体" w:eastAsia="黑体"/>
                <w:sz w:val="24"/>
                <w:szCs w:val="24"/>
              </w:rPr>
              <w:t>容</w:t>
            </w:r>
          </w:p>
        </w:tc>
        <w:tc>
          <w:tcPr>
            <w:tcW w:w="3512" w:type="dxa"/>
            <w:noWrap w:val="0"/>
            <w:vAlign w:val="center"/>
          </w:tcPr>
          <w:p>
            <w:pPr>
              <w:overflowPunct w:val="0"/>
              <w:contextualSpacing/>
              <w:jc w:val="center"/>
              <w:rPr>
                <w:rFonts w:ascii="黑体" w:hAnsi="黑体" w:eastAsia="黑体"/>
                <w:sz w:val="24"/>
                <w:szCs w:val="24"/>
              </w:rPr>
            </w:pPr>
            <w:r>
              <w:rPr>
                <w:rFonts w:ascii="黑体" w:hAnsi="黑体" w:eastAsia="黑体"/>
                <w:sz w:val="24"/>
                <w:szCs w:val="24"/>
              </w:rPr>
              <w:t>扣分标准</w:t>
            </w:r>
          </w:p>
        </w:tc>
        <w:tc>
          <w:tcPr>
            <w:tcW w:w="1433" w:type="dxa"/>
            <w:noWrap w:val="0"/>
            <w:vAlign w:val="center"/>
          </w:tcPr>
          <w:p>
            <w:pPr>
              <w:overflowPunct w:val="0"/>
              <w:contextualSpacing/>
              <w:jc w:val="center"/>
              <w:rPr>
                <w:rFonts w:ascii="黑体" w:hAnsi="黑体" w:eastAsia="黑体"/>
                <w:sz w:val="24"/>
                <w:szCs w:val="24"/>
              </w:rPr>
            </w:pPr>
            <w:r>
              <w:rPr>
                <w:rFonts w:ascii="黑体" w:hAnsi="黑体" w:eastAsia="黑体"/>
                <w:sz w:val="24"/>
                <w:szCs w:val="24"/>
              </w:rPr>
              <w:t>信息来源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143"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rPr>
              <w:t>行政</w:t>
            </w:r>
          </w:p>
          <w:p>
            <w:pPr>
              <w:overflowPunct w:val="0"/>
              <w:contextualSpacing/>
              <w:jc w:val="center"/>
              <w:rPr>
                <w:rFonts w:hint="eastAsia" w:ascii="仿宋_GB2312"/>
                <w:sz w:val="24"/>
                <w:szCs w:val="24"/>
              </w:rPr>
            </w:pPr>
            <w:r>
              <w:rPr>
                <w:rFonts w:hint="eastAsia" w:ascii="仿宋_GB2312"/>
                <w:sz w:val="24"/>
                <w:szCs w:val="24"/>
              </w:rPr>
              <w:t>处罚</w:t>
            </w:r>
          </w:p>
        </w:tc>
        <w:tc>
          <w:tcPr>
            <w:tcW w:w="2757" w:type="dxa"/>
            <w:noWrap w:val="0"/>
            <w:vAlign w:val="center"/>
          </w:tcPr>
          <w:p>
            <w:pPr>
              <w:overflowPunct w:val="0"/>
              <w:contextualSpacing/>
              <w:rPr>
                <w:rFonts w:hint="eastAsia" w:ascii="仿宋_GB2312"/>
                <w:sz w:val="24"/>
                <w:szCs w:val="24"/>
              </w:rPr>
            </w:pPr>
            <w:r>
              <w:rPr>
                <w:rFonts w:hint="eastAsia" w:ascii="仿宋_GB2312"/>
                <w:sz w:val="24"/>
                <w:szCs w:val="24"/>
              </w:rPr>
              <w:t>营运违规</w:t>
            </w:r>
          </w:p>
        </w:tc>
        <w:tc>
          <w:tcPr>
            <w:tcW w:w="3512" w:type="dxa"/>
            <w:noWrap w:val="0"/>
            <w:vAlign w:val="center"/>
          </w:tcPr>
          <w:p>
            <w:pPr>
              <w:overflowPunct w:val="0"/>
              <w:contextualSpacing/>
              <w:rPr>
                <w:rFonts w:hint="eastAsia" w:ascii="仿宋_GB2312"/>
                <w:sz w:val="24"/>
                <w:szCs w:val="24"/>
              </w:rPr>
            </w:pPr>
            <w:r>
              <w:rPr>
                <w:rFonts w:hint="eastAsia" w:ascii="仿宋_GB2312"/>
                <w:sz w:val="24"/>
                <w:szCs w:val="24"/>
              </w:rPr>
              <w:t>被行政处罚的扣3分/件</w:t>
            </w:r>
          </w:p>
        </w:tc>
        <w:tc>
          <w:tcPr>
            <w:tcW w:w="1433" w:type="dxa"/>
            <w:noWrap w:val="0"/>
            <w:vAlign w:val="center"/>
          </w:tcPr>
          <w:p>
            <w:pPr>
              <w:overflowPunct w:val="0"/>
              <w:contextualSpacing/>
              <w:jc w:val="center"/>
              <w:rPr>
                <w:rFonts w:hint="eastAsia" w:ascii="仿宋_GB2312"/>
                <w:sz w:val="24"/>
                <w:szCs w:val="24"/>
              </w:rPr>
            </w:pPr>
            <w:r>
              <w:rPr>
                <w:rFonts w:hint="eastAsia" w:ascii="仿宋_GB2312"/>
                <w:sz w:val="24"/>
                <w:szCs w:val="24"/>
              </w:rPr>
              <w:t>运政系统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143" w:type="dxa"/>
            <w:vMerge w:val="continue"/>
            <w:noWrap w:val="0"/>
            <w:vAlign w:val="center"/>
          </w:tcPr>
          <w:p>
            <w:pPr>
              <w:overflowPunct w:val="0"/>
              <w:contextualSpacing/>
              <w:jc w:val="center"/>
              <w:rPr>
                <w:rFonts w:hint="eastAsia" w:ascii="仿宋_GB2312"/>
                <w:sz w:val="24"/>
                <w:szCs w:val="24"/>
              </w:rPr>
            </w:pPr>
          </w:p>
        </w:tc>
        <w:tc>
          <w:tcPr>
            <w:tcW w:w="2757" w:type="dxa"/>
            <w:noWrap w:val="0"/>
            <w:vAlign w:val="center"/>
          </w:tcPr>
          <w:p>
            <w:pPr>
              <w:overflowPunct w:val="0"/>
              <w:contextualSpacing/>
              <w:rPr>
                <w:rFonts w:hint="eastAsia" w:ascii="仿宋_GB2312"/>
                <w:sz w:val="24"/>
                <w:szCs w:val="24"/>
              </w:rPr>
            </w:pPr>
            <w:r>
              <w:rPr>
                <w:rFonts w:hint="eastAsia" w:ascii="仿宋_GB2312"/>
                <w:sz w:val="24"/>
                <w:szCs w:val="24"/>
              </w:rPr>
              <w:t>交通违法</w:t>
            </w:r>
          </w:p>
        </w:tc>
        <w:tc>
          <w:tcPr>
            <w:tcW w:w="3512" w:type="dxa"/>
            <w:noWrap w:val="0"/>
            <w:vAlign w:val="center"/>
          </w:tcPr>
          <w:p>
            <w:pPr>
              <w:overflowPunct w:val="0"/>
              <w:contextualSpacing/>
              <w:rPr>
                <w:rFonts w:hint="eastAsia" w:ascii="仿宋_GB2312"/>
                <w:sz w:val="24"/>
                <w:szCs w:val="24"/>
              </w:rPr>
            </w:pPr>
            <w:r>
              <w:rPr>
                <w:rFonts w:hint="eastAsia" w:ascii="仿宋_GB2312"/>
                <w:sz w:val="24"/>
                <w:szCs w:val="24"/>
              </w:rPr>
              <w:t>发生交通违法案件，驾驶证每记1分扣0.5分</w:t>
            </w:r>
          </w:p>
        </w:tc>
        <w:tc>
          <w:tcPr>
            <w:tcW w:w="1433" w:type="dxa"/>
            <w:noWrap w:val="0"/>
            <w:vAlign w:val="center"/>
          </w:tcPr>
          <w:p>
            <w:pPr>
              <w:overflowPunct w:val="0"/>
              <w:contextualSpacing/>
              <w:jc w:val="center"/>
              <w:rPr>
                <w:rFonts w:hint="eastAsia" w:ascii="仿宋_GB2312"/>
                <w:sz w:val="24"/>
                <w:szCs w:val="24"/>
              </w:rPr>
            </w:pPr>
            <w:r>
              <w:rPr>
                <w:rFonts w:hint="eastAsia" w:ascii="仿宋_GB2312"/>
                <w:sz w:val="24"/>
                <w:szCs w:val="24"/>
              </w:rPr>
              <w:t>公安对接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143" w:type="dxa"/>
            <w:noWrap w:val="0"/>
            <w:vAlign w:val="center"/>
          </w:tcPr>
          <w:p>
            <w:pPr>
              <w:overflowPunct w:val="0"/>
              <w:contextualSpacing/>
              <w:jc w:val="center"/>
              <w:rPr>
                <w:rFonts w:hint="eastAsia" w:ascii="仿宋_GB2312"/>
                <w:sz w:val="24"/>
                <w:szCs w:val="24"/>
              </w:rPr>
            </w:pPr>
            <w:r>
              <w:rPr>
                <w:rFonts w:hint="eastAsia" w:ascii="仿宋_GB2312"/>
                <w:sz w:val="24"/>
                <w:szCs w:val="24"/>
              </w:rPr>
              <w:t>监督</w:t>
            </w:r>
          </w:p>
          <w:p>
            <w:pPr>
              <w:overflowPunct w:val="0"/>
              <w:contextualSpacing/>
              <w:jc w:val="center"/>
              <w:rPr>
                <w:rFonts w:hint="eastAsia" w:ascii="仿宋_GB2312"/>
                <w:sz w:val="24"/>
                <w:szCs w:val="24"/>
              </w:rPr>
            </w:pPr>
            <w:r>
              <w:rPr>
                <w:rFonts w:hint="eastAsia" w:ascii="仿宋_GB2312"/>
                <w:sz w:val="24"/>
                <w:szCs w:val="24"/>
              </w:rPr>
              <w:t>检查</w:t>
            </w:r>
          </w:p>
        </w:tc>
        <w:tc>
          <w:tcPr>
            <w:tcW w:w="2757" w:type="dxa"/>
            <w:noWrap w:val="0"/>
            <w:vAlign w:val="center"/>
          </w:tcPr>
          <w:p>
            <w:pPr>
              <w:overflowPunct w:val="0"/>
              <w:contextualSpacing/>
              <w:rPr>
                <w:rFonts w:hint="eastAsia" w:ascii="仿宋_GB2312"/>
                <w:sz w:val="24"/>
                <w:szCs w:val="24"/>
              </w:rPr>
            </w:pPr>
            <w:r>
              <w:rPr>
                <w:rFonts w:hint="eastAsia" w:ascii="仿宋_GB2312"/>
                <w:sz w:val="24"/>
                <w:szCs w:val="24"/>
              </w:rPr>
              <w:t>通报、曝光的负面信息</w:t>
            </w:r>
          </w:p>
        </w:tc>
        <w:tc>
          <w:tcPr>
            <w:tcW w:w="3512" w:type="dxa"/>
            <w:noWrap w:val="0"/>
            <w:vAlign w:val="center"/>
          </w:tcPr>
          <w:p>
            <w:pPr>
              <w:overflowPunct w:val="0"/>
              <w:contextualSpacing/>
              <w:rPr>
                <w:rFonts w:hint="eastAsia" w:ascii="仿宋_GB2312"/>
                <w:sz w:val="24"/>
                <w:szCs w:val="24"/>
              </w:rPr>
            </w:pPr>
            <w:r>
              <w:rPr>
                <w:rFonts w:hint="eastAsia" w:ascii="仿宋_GB2312"/>
                <w:sz w:val="24"/>
                <w:szCs w:val="24"/>
              </w:rPr>
              <w:t>扣5分/件</w:t>
            </w:r>
          </w:p>
        </w:tc>
        <w:tc>
          <w:tcPr>
            <w:tcW w:w="1433" w:type="dxa"/>
            <w:noWrap w:val="0"/>
            <w:vAlign w:val="center"/>
          </w:tcPr>
          <w:p>
            <w:pPr>
              <w:overflowPunct w:val="0"/>
              <w:contextualSpacing/>
              <w:jc w:val="center"/>
              <w:rPr>
                <w:rFonts w:hint="eastAsia" w:ascii="仿宋_GB2312"/>
                <w:sz w:val="24"/>
                <w:szCs w:val="24"/>
              </w:rPr>
            </w:pPr>
            <w:r>
              <w:rPr>
                <w:rFonts w:hint="eastAsia" w:ascii="仿宋_GB2312"/>
                <w:sz w:val="24"/>
                <w:szCs w:val="24"/>
              </w:rPr>
              <w:t>人工录入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143" w:type="dxa"/>
            <w:noWrap w:val="0"/>
            <w:vAlign w:val="center"/>
          </w:tcPr>
          <w:p>
            <w:pPr>
              <w:overflowPunct w:val="0"/>
              <w:contextualSpacing/>
              <w:jc w:val="center"/>
              <w:rPr>
                <w:rFonts w:hint="eastAsia" w:ascii="仿宋_GB2312"/>
                <w:sz w:val="24"/>
                <w:szCs w:val="24"/>
              </w:rPr>
            </w:pPr>
            <w:r>
              <w:rPr>
                <w:rFonts w:hint="eastAsia" w:ascii="仿宋_GB2312"/>
                <w:sz w:val="24"/>
                <w:szCs w:val="24"/>
              </w:rPr>
              <w:t>投诉</w:t>
            </w:r>
          </w:p>
          <w:p>
            <w:pPr>
              <w:overflowPunct w:val="0"/>
              <w:contextualSpacing/>
              <w:jc w:val="center"/>
              <w:rPr>
                <w:rFonts w:hint="eastAsia" w:ascii="仿宋_GB2312"/>
                <w:sz w:val="24"/>
                <w:szCs w:val="24"/>
              </w:rPr>
            </w:pPr>
            <w:r>
              <w:rPr>
                <w:rFonts w:hint="eastAsia" w:ascii="仿宋_GB2312"/>
                <w:sz w:val="24"/>
                <w:szCs w:val="24"/>
              </w:rPr>
              <w:t>举报</w:t>
            </w:r>
          </w:p>
        </w:tc>
        <w:tc>
          <w:tcPr>
            <w:tcW w:w="2757" w:type="dxa"/>
            <w:noWrap w:val="0"/>
            <w:vAlign w:val="center"/>
          </w:tcPr>
          <w:p>
            <w:pPr>
              <w:overflowPunct w:val="0"/>
              <w:contextualSpacing/>
              <w:rPr>
                <w:rFonts w:hint="eastAsia" w:ascii="仿宋_GB2312"/>
                <w:sz w:val="24"/>
                <w:szCs w:val="24"/>
              </w:rPr>
            </w:pPr>
            <w:r>
              <w:rPr>
                <w:rFonts w:hint="eastAsia" w:ascii="仿宋_GB2312"/>
                <w:sz w:val="24"/>
                <w:szCs w:val="24"/>
              </w:rPr>
              <w:t>有责投诉举报信息</w:t>
            </w:r>
          </w:p>
        </w:tc>
        <w:tc>
          <w:tcPr>
            <w:tcW w:w="3512" w:type="dxa"/>
            <w:noWrap w:val="0"/>
            <w:vAlign w:val="center"/>
          </w:tcPr>
          <w:p>
            <w:pPr>
              <w:overflowPunct w:val="0"/>
              <w:contextualSpacing/>
              <w:rPr>
                <w:rFonts w:hint="eastAsia" w:ascii="仿宋_GB2312"/>
                <w:sz w:val="24"/>
                <w:szCs w:val="24"/>
              </w:rPr>
            </w:pPr>
            <w:r>
              <w:rPr>
                <w:rFonts w:hint="eastAsia" w:ascii="仿宋_GB2312"/>
                <w:sz w:val="24"/>
                <w:szCs w:val="24"/>
              </w:rPr>
              <w:t>被查实有责投诉，扣2分/次</w:t>
            </w:r>
          </w:p>
        </w:tc>
        <w:tc>
          <w:tcPr>
            <w:tcW w:w="1433" w:type="dxa"/>
            <w:noWrap w:val="0"/>
            <w:vAlign w:val="center"/>
          </w:tcPr>
          <w:p>
            <w:pPr>
              <w:overflowPunct w:val="0"/>
              <w:contextualSpacing/>
              <w:jc w:val="center"/>
              <w:rPr>
                <w:rFonts w:hint="eastAsia" w:ascii="仿宋_GB2312"/>
                <w:sz w:val="24"/>
                <w:szCs w:val="24"/>
              </w:rPr>
            </w:pPr>
            <w:r>
              <w:rPr>
                <w:rFonts w:hint="eastAsia" w:ascii="仿宋_GB2312"/>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143" w:type="dxa"/>
            <w:noWrap w:val="0"/>
            <w:vAlign w:val="center"/>
          </w:tcPr>
          <w:p>
            <w:pPr>
              <w:overflowPunct w:val="0"/>
              <w:contextualSpacing/>
              <w:jc w:val="center"/>
              <w:rPr>
                <w:rFonts w:hint="eastAsia" w:ascii="仿宋_GB2312"/>
                <w:sz w:val="24"/>
                <w:szCs w:val="24"/>
              </w:rPr>
            </w:pPr>
            <w:r>
              <w:rPr>
                <w:rFonts w:hint="eastAsia" w:ascii="仿宋_GB2312"/>
                <w:sz w:val="24"/>
                <w:szCs w:val="24"/>
              </w:rPr>
              <w:t>安全</w:t>
            </w:r>
          </w:p>
          <w:p>
            <w:pPr>
              <w:overflowPunct w:val="0"/>
              <w:contextualSpacing/>
              <w:jc w:val="center"/>
              <w:rPr>
                <w:rFonts w:hint="eastAsia" w:ascii="仿宋_GB2312"/>
                <w:sz w:val="24"/>
                <w:szCs w:val="24"/>
              </w:rPr>
            </w:pPr>
            <w:r>
              <w:rPr>
                <w:rFonts w:hint="eastAsia" w:ascii="仿宋_GB2312"/>
                <w:sz w:val="24"/>
                <w:szCs w:val="24"/>
              </w:rPr>
              <w:t>事故</w:t>
            </w:r>
          </w:p>
        </w:tc>
        <w:tc>
          <w:tcPr>
            <w:tcW w:w="2757" w:type="dxa"/>
            <w:noWrap w:val="0"/>
            <w:vAlign w:val="center"/>
          </w:tcPr>
          <w:p>
            <w:pPr>
              <w:overflowPunct w:val="0"/>
              <w:contextualSpacing/>
              <w:rPr>
                <w:rFonts w:hint="eastAsia" w:ascii="仿宋_GB2312"/>
                <w:sz w:val="24"/>
                <w:szCs w:val="24"/>
              </w:rPr>
            </w:pPr>
            <w:r>
              <w:rPr>
                <w:rFonts w:hint="eastAsia" w:ascii="仿宋_GB2312"/>
                <w:sz w:val="24"/>
                <w:szCs w:val="24"/>
              </w:rPr>
              <w:t>有责死亡事故信息</w:t>
            </w:r>
          </w:p>
        </w:tc>
        <w:tc>
          <w:tcPr>
            <w:tcW w:w="3512" w:type="dxa"/>
            <w:noWrap w:val="0"/>
            <w:vAlign w:val="center"/>
          </w:tcPr>
          <w:p>
            <w:pPr>
              <w:overflowPunct w:val="0"/>
              <w:contextualSpacing/>
              <w:rPr>
                <w:rFonts w:hint="eastAsia" w:ascii="仿宋_GB2312"/>
                <w:sz w:val="24"/>
                <w:szCs w:val="24"/>
              </w:rPr>
            </w:pPr>
            <w:r>
              <w:rPr>
                <w:rFonts w:hint="eastAsia" w:ascii="仿宋_GB2312"/>
                <w:sz w:val="24"/>
                <w:szCs w:val="24"/>
              </w:rPr>
              <w:t>发生同责死亡事故每起扣5分；发生次责死亡事故每起扣3分</w:t>
            </w:r>
          </w:p>
        </w:tc>
        <w:tc>
          <w:tcPr>
            <w:tcW w:w="1433" w:type="dxa"/>
            <w:noWrap w:val="0"/>
            <w:vAlign w:val="center"/>
          </w:tcPr>
          <w:p>
            <w:pPr>
              <w:overflowPunct w:val="0"/>
              <w:contextualSpacing/>
              <w:jc w:val="center"/>
              <w:rPr>
                <w:rFonts w:hint="eastAsia" w:ascii="仿宋_GB2312"/>
                <w:sz w:val="24"/>
                <w:szCs w:val="24"/>
              </w:rPr>
            </w:pPr>
            <w:r>
              <w:rPr>
                <w:rFonts w:hint="eastAsia" w:ascii="仿宋_GB2312"/>
                <w:sz w:val="24"/>
                <w:szCs w:val="24"/>
              </w:rPr>
              <w:t>公安对接</w:t>
            </w:r>
          </w:p>
        </w:tc>
      </w:tr>
    </w:tbl>
    <w:p>
      <w:pPr>
        <w:overflowPunct w:val="0"/>
        <w:spacing w:line="590" w:lineRule="exact"/>
        <w:ind w:firstLine="640" w:firstLineChars="200"/>
        <w:rPr>
          <w:szCs w:val="32"/>
        </w:rPr>
      </w:pPr>
    </w:p>
    <w:p>
      <w:pPr>
        <w:overflowPunct w:val="0"/>
        <w:spacing w:line="590" w:lineRule="exact"/>
        <w:ind w:firstLine="640" w:firstLineChars="200"/>
        <w:rPr>
          <w:szCs w:val="32"/>
        </w:rPr>
      </w:pPr>
    </w:p>
    <w:p>
      <w:pPr>
        <w:overflowPunct w:val="0"/>
        <w:spacing w:line="580" w:lineRule="exact"/>
        <w:jc w:val="left"/>
        <w:rPr>
          <w:rFonts w:ascii="黑体" w:hAnsi="黑体" w:eastAsia="黑体"/>
          <w:szCs w:val="32"/>
        </w:rPr>
      </w:pPr>
      <w:r>
        <w:rPr>
          <w:szCs w:val="32"/>
        </w:rPr>
        <w:br w:type="page"/>
      </w:r>
      <w:r>
        <w:rPr>
          <w:rFonts w:ascii="黑体" w:hAnsi="黑体" w:eastAsia="黑体"/>
          <w:szCs w:val="32"/>
        </w:rPr>
        <w:t>附件3</w:t>
      </w:r>
    </w:p>
    <w:p>
      <w:pPr>
        <w:overflowPunct w:val="0"/>
        <w:spacing w:line="580" w:lineRule="exact"/>
        <w:jc w:val="center"/>
        <w:rPr>
          <w:rFonts w:hint="eastAsia" w:ascii="方正小标宋简体" w:eastAsia="方正小标宋简体"/>
          <w:sz w:val="44"/>
          <w:szCs w:val="44"/>
        </w:rPr>
      </w:pPr>
    </w:p>
    <w:p>
      <w:pPr>
        <w:overflowPunct w:val="0"/>
        <w:spacing w:line="580" w:lineRule="exact"/>
        <w:jc w:val="center"/>
        <w:rPr>
          <w:rFonts w:ascii="方正小标宋简体" w:eastAsia="方正小标宋简体"/>
          <w:sz w:val="44"/>
          <w:szCs w:val="44"/>
        </w:rPr>
      </w:pPr>
      <w:r>
        <w:rPr>
          <w:rFonts w:ascii="方正小标宋简体" w:eastAsia="方正小标宋简体"/>
          <w:sz w:val="44"/>
          <w:szCs w:val="44"/>
        </w:rPr>
        <w:t>浙江省公路养护工程设计和施工企业</w:t>
      </w:r>
    </w:p>
    <w:p>
      <w:pPr>
        <w:overflowPunct w:val="0"/>
        <w:spacing w:line="580" w:lineRule="exact"/>
        <w:jc w:val="center"/>
        <w:rPr>
          <w:rFonts w:ascii="方正小标宋简体" w:eastAsia="方正小标宋简体"/>
          <w:sz w:val="44"/>
          <w:szCs w:val="44"/>
        </w:rPr>
      </w:pPr>
      <w:r>
        <w:rPr>
          <w:rFonts w:ascii="方正小标宋简体" w:eastAsia="方正小标宋简体"/>
          <w:sz w:val="44"/>
          <w:szCs w:val="44"/>
        </w:rPr>
        <w:t>信用管理实施细则</w:t>
      </w:r>
    </w:p>
    <w:p>
      <w:pPr>
        <w:overflowPunct w:val="0"/>
        <w:adjustRightInd w:val="0"/>
        <w:snapToGrid w:val="0"/>
        <w:spacing w:line="580" w:lineRule="exact"/>
        <w:ind w:firstLine="640" w:firstLineChars="200"/>
        <w:rPr>
          <w:szCs w:val="32"/>
        </w:rPr>
      </w:pPr>
    </w:p>
    <w:p>
      <w:pPr>
        <w:overflowPunct w:val="0"/>
        <w:adjustRightInd w:val="0"/>
        <w:snapToGrid w:val="0"/>
        <w:spacing w:line="580" w:lineRule="exact"/>
        <w:ind w:firstLine="640" w:firstLineChars="200"/>
        <w:rPr>
          <w:szCs w:val="32"/>
        </w:rPr>
      </w:pPr>
      <w:r>
        <w:rPr>
          <w:szCs w:val="32"/>
        </w:rPr>
        <w:t>为推进全省公路养护市场信用体系建设，营造诚信经营环境，根据《公路养护工程管理办法》等规定，结合我省公路养护行业实际，制定本细则。</w:t>
      </w:r>
    </w:p>
    <w:p>
      <w:pPr>
        <w:overflowPunct w:val="0"/>
        <w:spacing w:line="580" w:lineRule="exact"/>
        <w:ind w:firstLine="640" w:firstLineChars="200"/>
        <w:rPr>
          <w:rFonts w:ascii="黑体" w:hAnsi="黑体" w:eastAsia="黑体"/>
          <w:szCs w:val="32"/>
        </w:rPr>
      </w:pPr>
      <w:r>
        <w:rPr>
          <w:rFonts w:ascii="黑体" w:hAnsi="黑体" w:eastAsia="黑体"/>
          <w:szCs w:val="32"/>
        </w:rPr>
        <w:t>一、适用范围</w:t>
      </w:r>
    </w:p>
    <w:p>
      <w:pPr>
        <w:overflowPunct w:val="0"/>
        <w:adjustRightInd w:val="0"/>
        <w:snapToGrid w:val="0"/>
        <w:spacing w:line="580" w:lineRule="exact"/>
        <w:ind w:firstLine="640" w:firstLineChars="200"/>
        <w:rPr>
          <w:szCs w:val="32"/>
        </w:rPr>
      </w:pPr>
      <w:r>
        <w:rPr>
          <w:szCs w:val="32"/>
        </w:rPr>
        <w:t>本细则适用于本省行政区域内国道、省道公路养护工程从业企业的信用信息采集、归集、共享、评价、应用等管理工作。县道、乡道、村道和专用公路的养护工程信用管理可参照执行。</w:t>
      </w:r>
    </w:p>
    <w:p>
      <w:pPr>
        <w:overflowPunct w:val="0"/>
        <w:adjustRightInd w:val="0"/>
        <w:snapToGrid w:val="0"/>
        <w:spacing w:line="580" w:lineRule="exact"/>
        <w:ind w:firstLine="640" w:firstLineChars="200"/>
        <w:rPr>
          <w:szCs w:val="32"/>
        </w:rPr>
      </w:pPr>
      <w:r>
        <w:rPr>
          <w:szCs w:val="32"/>
        </w:rPr>
        <w:t>细则中所称的从业企业是指在浙江省内从事国道、省道公路养护工程设计和施工的企业。</w:t>
      </w:r>
    </w:p>
    <w:p>
      <w:pPr>
        <w:overflowPunct w:val="0"/>
        <w:spacing w:line="580" w:lineRule="exact"/>
        <w:ind w:firstLine="640" w:firstLineChars="200"/>
        <w:rPr>
          <w:rFonts w:ascii="黑体" w:hAnsi="黑体" w:eastAsia="黑体"/>
          <w:szCs w:val="32"/>
        </w:rPr>
      </w:pPr>
      <w:r>
        <w:rPr>
          <w:rFonts w:ascii="黑体" w:hAnsi="黑体" w:eastAsia="黑体"/>
          <w:szCs w:val="32"/>
        </w:rPr>
        <w:t>二、公路养护工程从业企业信用信息归集</w:t>
      </w:r>
    </w:p>
    <w:p>
      <w:pPr>
        <w:overflowPunct w:val="0"/>
        <w:adjustRightInd w:val="0"/>
        <w:snapToGrid w:val="0"/>
        <w:spacing w:line="580" w:lineRule="exact"/>
        <w:ind w:firstLine="640" w:firstLineChars="200"/>
        <w:rPr>
          <w:szCs w:val="32"/>
        </w:rPr>
      </w:pPr>
      <w:r>
        <w:rPr>
          <w:rFonts w:ascii="楷体_GB2312" w:eastAsia="楷体_GB2312"/>
          <w:szCs w:val="32"/>
        </w:rPr>
        <w:t>（一）从业企业基础信息主要包括：</w:t>
      </w:r>
      <w:r>
        <w:rPr>
          <w:szCs w:val="32"/>
        </w:rPr>
        <w:t>企业名称、法定代表人、统一社会信用代码、分公司名称及所在地、主要设备、经营状态、经营范围、行政许可和资质信息等。</w:t>
      </w:r>
    </w:p>
    <w:p>
      <w:pPr>
        <w:shd w:val="clear" w:color="auto" w:fill="FFFFFF"/>
        <w:overflowPunct w:val="0"/>
        <w:spacing w:line="580" w:lineRule="exact"/>
        <w:ind w:firstLine="640" w:firstLineChars="200"/>
        <w:rPr>
          <w:rFonts w:ascii="楷体_GB2312" w:eastAsia="楷体_GB2312"/>
          <w:szCs w:val="32"/>
        </w:rPr>
      </w:pPr>
      <w:r>
        <w:rPr>
          <w:rFonts w:ascii="楷体_GB2312" w:eastAsia="楷体_GB2312"/>
          <w:szCs w:val="32"/>
        </w:rPr>
        <w:t>（二）从业企业不良信息主要包括：</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1.以欺骗、贿赂等不正当手段取得行政许可、行政确认、行政奖励的信息；</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2.在法定期限内未提起行政复议、行政诉讼，或者经行政复议、行政诉讼最终维持原决定的行政处罚信息，但适用简易程序作出的除外；</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3.经司法生效判决认定构成犯罪的信息；</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4.不履行行政决定而被依法行政强制执行的信息；</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5.不履行判决、裁定等生效法律文书的信息；</w:t>
      </w:r>
    </w:p>
    <w:p>
      <w:pPr>
        <w:overflowPunct w:val="0"/>
        <w:adjustRightInd w:val="0"/>
        <w:snapToGrid w:val="0"/>
        <w:spacing w:line="580" w:lineRule="exact"/>
        <w:ind w:firstLine="640" w:firstLineChars="200"/>
        <w:rPr>
          <w:rFonts w:hint="eastAsia" w:ascii="仿宋_GB2312"/>
          <w:spacing w:val="-4"/>
          <w:szCs w:val="32"/>
        </w:rPr>
      </w:pPr>
      <w:r>
        <w:rPr>
          <w:rFonts w:hint="eastAsia" w:ascii="仿宋_GB2312"/>
          <w:szCs w:val="32"/>
        </w:rPr>
        <w:t>6.</w:t>
      </w:r>
      <w:r>
        <w:rPr>
          <w:rFonts w:hint="eastAsia" w:ascii="仿宋_GB2312"/>
          <w:spacing w:val="-4"/>
          <w:szCs w:val="32"/>
        </w:rPr>
        <w:t>经依法认定的违反法律、法规和规章规定的其他不良信息。</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以上信息或者材料以信用评价周期内的发文日期或者认定时间为准，对存在失信行为且有充分证据材料的，纳入评价周期内进行评价。</w:t>
      </w:r>
    </w:p>
    <w:p>
      <w:pPr>
        <w:overflowPunct w:val="0"/>
        <w:spacing w:line="580" w:lineRule="exact"/>
        <w:ind w:firstLine="640" w:firstLineChars="200"/>
        <w:rPr>
          <w:rFonts w:ascii="黑体" w:hAnsi="黑体" w:eastAsia="黑体"/>
          <w:szCs w:val="32"/>
        </w:rPr>
      </w:pPr>
      <w:r>
        <w:rPr>
          <w:rFonts w:ascii="黑体" w:hAnsi="黑体" w:eastAsia="黑体"/>
          <w:szCs w:val="32"/>
        </w:rPr>
        <w:t>三、公路养护工程从业企业信用评价</w:t>
      </w:r>
    </w:p>
    <w:p>
      <w:pPr>
        <w:overflowPunct w:val="0"/>
        <w:adjustRightInd w:val="0"/>
        <w:snapToGrid w:val="0"/>
        <w:spacing w:line="580" w:lineRule="exact"/>
        <w:ind w:firstLine="640" w:firstLineChars="200"/>
        <w:rPr>
          <w:rFonts w:hint="eastAsia" w:ascii="仿宋_GB2312"/>
          <w:szCs w:val="32"/>
        </w:rPr>
      </w:pPr>
      <w:r>
        <w:rPr>
          <w:rFonts w:ascii="楷体_GB2312" w:eastAsia="楷体_GB2312"/>
          <w:szCs w:val="32"/>
        </w:rPr>
        <w:t>（一）列入信用评价范围的主体。</w:t>
      </w:r>
      <w:r>
        <w:rPr>
          <w:rFonts w:hint="eastAsia" w:ascii="仿宋_GB2312"/>
          <w:szCs w:val="32"/>
        </w:rPr>
        <w:t>以下公路养护工程项目列入信用评价范围：单个施工合同段合同价≥400万（桥梁、隧道、边坡处治等≥100万），且于评价周期内经验收合格的国道、省道公路养护工程项目，服务区、收费站维护、应急养护工程项目暂不列入。</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以下从业企业列为信用评价对象：</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1.评价周期内上述合同段所在项目的设计和施工企业；</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2.评价周期内在浙江省内公路养护工程招投标活动中有本细则第三部分第五项不良信息的设计和施工企业。</w:t>
      </w:r>
    </w:p>
    <w:p>
      <w:pPr>
        <w:overflowPunct w:val="0"/>
        <w:spacing w:line="580" w:lineRule="exact"/>
        <w:ind w:firstLine="640" w:firstLineChars="200"/>
        <w:rPr>
          <w:rFonts w:hint="eastAsia" w:ascii="仿宋_GB2312"/>
          <w:szCs w:val="32"/>
        </w:rPr>
      </w:pPr>
      <w:r>
        <w:rPr>
          <w:rFonts w:ascii="楷体_GB2312" w:eastAsia="楷体_GB2312"/>
          <w:szCs w:val="32"/>
        </w:rPr>
        <w:t>（二）从业企业的信用等级和分值。</w:t>
      </w:r>
      <w:r>
        <w:rPr>
          <w:rFonts w:hint="eastAsia" w:ascii="仿宋_GB2312"/>
          <w:szCs w:val="32"/>
        </w:rPr>
        <w:t>从业企业信用评价实行千分制，信用评价基础分为1000分，加分项最高累计不超过100分。信用评价等级分为优秀、良好、中等、较差、差，分别用AA、A、B、C、D表示。具体分值与等级为：AA级：1000分≤X≤1100分，且上一评价年度信用评价等级为A级及以上的；A级：950分≤X＜1000分；B级：900分≤X＜950分；C级：800分≤X＜900分；D级：X＜800分。</w:t>
      </w:r>
    </w:p>
    <w:p>
      <w:pPr>
        <w:shd w:val="clear" w:color="auto" w:fill="FFFFFF"/>
        <w:overflowPunct w:val="0"/>
        <w:spacing w:line="580" w:lineRule="exact"/>
        <w:ind w:firstLine="640" w:firstLineChars="200"/>
        <w:rPr>
          <w:rFonts w:ascii="楷体_GB2312" w:eastAsia="楷体_GB2312"/>
          <w:szCs w:val="32"/>
        </w:rPr>
      </w:pPr>
      <w:r>
        <w:rPr>
          <w:rFonts w:ascii="楷体_GB2312" w:eastAsia="楷体_GB2312"/>
          <w:szCs w:val="32"/>
        </w:rPr>
        <w:t>（三）从业企业信用评价主要指标及分值。</w:t>
      </w:r>
    </w:p>
    <w:p>
      <w:pPr>
        <w:overflowPunct w:val="0"/>
        <w:spacing w:line="580" w:lineRule="exact"/>
        <w:ind w:firstLine="640" w:firstLineChars="200"/>
        <w:rPr>
          <w:rFonts w:hint="eastAsia" w:ascii="仿宋_GB2312"/>
          <w:szCs w:val="32"/>
        </w:rPr>
      </w:pPr>
      <w:r>
        <w:rPr>
          <w:rFonts w:hint="eastAsia" w:ascii="仿宋_GB2312"/>
          <w:szCs w:val="32"/>
        </w:rPr>
        <w:t>1.设计企业的信用评价主要指标及分值为：市场信用200分，服务信用700分，公共信用100分；</w:t>
      </w:r>
    </w:p>
    <w:p>
      <w:pPr>
        <w:overflowPunct w:val="0"/>
        <w:spacing w:line="580" w:lineRule="exact"/>
        <w:ind w:firstLine="640" w:firstLineChars="200"/>
        <w:rPr>
          <w:rFonts w:hint="eastAsia" w:ascii="仿宋_GB2312"/>
          <w:szCs w:val="32"/>
        </w:rPr>
      </w:pPr>
      <w:r>
        <w:rPr>
          <w:rFonts w:hint="eastAsia" w:ascii="仿宋_GB2312"/>
          <w:szCs w:val="32"/>
        </w:rPr>
        <w:t>2.施工企业的信用评价主要指标及分值为：市场信用200分，服务信用500分，安全信用200分，公共信用100分。</w:t>
      </w:r>
    </w:p>
    <w:p>
      <w:pPr>
        <w:overflowPunct w:val="0"/>
        <w:spacing w:line="580" w:lineRule="exact"/>
        <w:ind w:firstLine="640" w:firstLineChars="200"/>
        <w:rPr>
          <w:rFonts w:hint="eastAsia" w:ascii="仿宋_GB2312"/>
          <w:bCs/>
          <w:szCs w:val="32"/>
        </w:rPr>
      </w:pPr>
      <w:r>
        <w:rPr>
          <w:rFonts w:ascii="楷体_GB2312" w:eastAsia="楷体_GB2312"/>
          <w:szCs w:val="32"/>
        </w:rPr>
        <w:t>（四）从业企业信用评价以施工合同段为评价单元进行评分。</w:t>
      </w:r>
      <w:r>
        <w:rPr>
          <w:szCs w:val="32"/>
        </w:rPr>
        <w:t>评</w:t>
      </w:r>
      <w:r>
        <w:rPr>
          <w:rFonts w:hint="eastAsia" w:ascii="仿宋_GB2312"/>
          <w:szCs w:val="32"/>
        </w:rPr>
        <w:t>价对象</w:t>
      </w:r>
      <w:r>
        <w:rPr>
          <w:rFonts w:hint="eastAsia" w:ascii="仿宋_GB2312"/>
          <w:bCs/>
          <w:szCs w:val="32"/>
        </w:rPr>
        <w:t>在</w:t>
      </w:r>
      <w:r>
        <w:rPr>
          <w:rFonts w:hint="eastAsia" w:ascii="仿宋_GB2312"/>
          <w:szCs w:val="32"/>
        </w:rPr>
        <w:t>评价周期内有多个评价单元</w:t>
      </w:r>
      <w:r>
        <w:rPr>
          <w:rFonts w:hint="eastAsia" w:ascii="仿宋_GB2312"/>
          <w:bCs/>
          <w:szCs w:val="32"/>
        </w:rPr>
        <w:t>的，按各评价单元得分排名进行加权重计算后得出信用评级得分。</w:t>
      </w:r>
    </w:p>
    <w:p>
      <w:pPr>
        <w:overflowPunct w:val="0"/>
        <w:spacing w:line="580" w:lineRule="exact"/>
        <w:ind w:firstLine="640" w:firstLineChars="200"/>
        <w:rPr>
          <w:rFonts w:hint="eastAsia" w:ascii="仿宋_GB2312"/>
          <w:szCs w:val="32"/>
        </w:rPr>
      </w:pPr>
      <w:r>
        <w:rPr>
          <w:rFonts w:hint="eastAsia" w:ascii="仿宋_GB2312"/>
          <w:szCs w:val="32"/>
        </w:rPr>
        <w:t>如某评价对象有N个评价单元，按各评价单元得分数从大到小排序分别为：P1，P2，…PN，该评价对象加权得分为：（1×P1 + 2×P2…+N×PN）/（1+2+…N）。</w:t>
      </w:r>
    </w:p>
    <w:p>
      <w:pPr>
        <w:overflowPunct w:val="0"/>
        <w:adjustRightInd w:val="0"/>
        <w:snapToGrid w:val="0"/>
        <w:spacing w:line="580" w:lineRule="exact"/>
        <w:ind w:firstLine="640" w:firstLineChars="200"/>
        <w:rPr>
          <w:rFonts w:hint="eastAsia" w:ascii="仿宋_GB2312"/>
          <w:szCs w:val="32"/>
        </w:rPr>
      </w:pPr>
      <w:r>
        <w:rPr>
          <w:rFonts w:ascii="楷体_GB2312" w:eastAsia="楷体_GB2312"/>
          <w:szCs w:val="32"/>
        </w:rPr>
        <w:t>（五）</w:t>
      </w:r>
      <w:r>
        <w:rPr>
          <w:rFonts w:hint="eastAsia" w:ascii="楷体_GB2312" w:eastAsia="楷体_GB2312"/>
          <w:szCs w:val="32"/>
        </w:rPr>
        <w:t>评价对象有本款第一项至第四项不良信息之一的，纳入列入严重失信名单。</w:t>
      </w:r>
      <w:r>
        <w:rPr>
          <w:rFonts w:hint="eastAsia" w:ascii="仿宋_GB2312"/>
          <w:szCs w:val="32"/>
        </w:rPr>
        <w:t>评价对象有本款第一项至第六项不良信息之一的，本年度信用等级直接认定为D级。</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1.以欺骗、贿赂等不正当手段取得关系人身健康和生命安全的行政许可而被依法撤销的信息；</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2.因损害人身健康和生命安全的行为，严重破坏市场经济秩序和社会管理秩序的行为；</w:t>
      </w:r>
    </w:p>
    <w:p>
      <w:pPr>
        <w:overflowPunct w:val="0"/>
        <w:adjustRightInd w:val="0"/>
        <w:snapToGrid w:val="0"/>
        <w:spacing w:line="580" w:lineRule="exact"/>
        <w:ind w:firstLine="640" w:firstLineChars="200"/>
        <w:rPr>
          <w:rFonts w:hint="eastAsia" w:ascii="仿宋_GB2312"/>
          <w:spacing w:val="-4"/>
          <w:szCs w:val="32"/>
        </w:rPr>
      </w:pPr>
      <w:r>
        <w:rPr>
          <w:rFonts w:hint="eastAsia" w:ascii="仿宋_GB2312"/>
          <w:szCs w:val="32"/>
        </w:rPr>
        <w:t>3.</w:t>
      </w:r>
      <w:r>
        <w:rPr>
          <w:rFonts w:hint="eastAsia" w:ascii="仿宋_GB2312"/>
          <w:spacing w:val="-4"/>
          <w:szCs w:val="32"/>
        </w:rPr>
        <w:t>有履行能力而拒不履行判决、裁定等生效法律文书的信息；</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4.法律、法规规定的其他应当将信息主体列入严重失信名单的相关信息；</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5.在投标、工程担保、公路养护从业资质申报等过程中存在弄虚作假行为；</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6.因设计或施工原因导致项目发生质量、安全责任事故的，并被主管部门通报。</w:t>
      </w:r>
    </w:p>
    <w:p>
      <w:pPr>
        <w:overflowPunct w:val="0"/>
        <w:adjustRightInd w:val="0"/>
        <w:snapToGrid w:val="0"/>
        <w:spacing w:line="580" w:lineRule="exact"/>
        <w:ind w:firstLine="640" w:firstLineChars="200"/>
        <w:rPr>
          <w:rFonts w:hint="eastAsia" w:ascii="仿宋_GB2312"/>
          <w:szCs w:val="32"/>
        </w:rPr>
      </w:pPr>
      <w:r>
        <w:rPr>
          <w:rFonts w:hint="eastAsia" w:ascii="仿宋_GB2312"/>
          <w:szCs w:val="32"/>
        </w:rPr>
        <w:t>前款第一项和第二项所称关系或者损害人身健康和生命安全的行政许可或者行为，包括生态环境、工程质量、安全生产、等领域的行政许可或者违法行为。第二项所称严重破坏市场经济秩序和社会管理秩序的行为，包括商业贿赂、逃税骗税、恶意逃废债务、恶意欠薪、合同诈骗、无证照经营、围标串标等行为。</w:t>
      </w:r>
    </w:p>
    <w:p>
      <w:pPr>
        <w:shd w:val="clear" w:color="auto" w:fill="FFFFFF"/>
        <w:overflowPunct w:val="0"/>
        <w:spacing w:line="580" w:lineRule="exact"/>
        <w:ind w:firstLine="640" w:firstLineChars="200"/>
        <w:rPr>
          <w:rFonts w:hint="eastAsia" w:ascii="仿宋_GB2312"/>
          <w:szCs w:val="32"/>
        </w:rPr>
      </w:pPr>
      <w:r>
        <w:rPr>
          <w:rFonts w:ascii="楷体_GB2312" w:eastAsia="楷体_GB2312"/>
          <w:szCs w:val="32"/>
        </w:rPr>
        <w:t>（六）</w:t>
      </w:r>
      <w:r>
        <w:rPr>
          <w:rFonts w:hint="eastAsia" w:ascii="仿宋_GB2312"/>
          <w:szCs w:val="32"/>
        </w:rPr>
        <w:t>从业企业分立的，按照新设立企业确定信用等级，但不得高于原信用等级；从业企业发生合并重组的，按照信用等级较低从业企业的等级确认合并后从业企业的信用等级；从业企业资质升级或更名的，其信用等级不变；企业被注销、破产的，取消其信用等级。</w:t>
      </w:r>
    </w:p>
    <w:p>
      <w:pPr>
        <w:overflowPunct w:val="0"/>
        <w:adjustRightInd w:val="0"/>
        <w:snapToGrid w:val="0"/>
        <w:spacing w:line="580" w:lineRule="exact"/>
        <w:ind w:firstLine="640" w:firstLineChars="200"/>
        <w:rPr>
          <w:rFonts w:hint="eastAsia" w:ascii="仿宋_GB2312"/>
          <w:szCs w:val="32"/>
        </w:rPr>
      </w:pPr>
      <w:r>
        <w:rPr>
          <w:rFonts w:ascii="楷体_GB2312" w:eastAsia="楷体_GB2312"/>
          <w:szCs w:val="32"/>
        </w:rPr>
        <w:t>（七）从业企业的信用评价周期及公示公布。</w:t>
      </w:r>
      <w:r>
        <w:rPr>
          <w:rFonts w:hint="eastAsia" w:ascii="仿宋_GB2312"/>
          <w:szCs w:val="32"/>
        </w:rPr>
        <w:t>从业企业信用评价工作每年度开展一次，评价周期为每年1月1日至12月31日。评价结果于次年2月1日前通过浙江信用交通网站公示，公示无异议的信息于3月1日前对外公布。</w:t>
      </w:r>
    </w:p>
    <w:p>
      <w:pPr>
        <w:overflowPunct w:val="0"/>
        <w:adjustRightInd w:val="0"/>
        <w:snapToGrid w:val="0"/>
        <w:spacing w:line="580" w:lineRule="exact"/>
        <w:ind w:firstLine="640" w:firstLineChars="200"/>
        <w:rPr>
          <w:szCs w:val="32"/>
        </w:rPr>
      </w:pPr>
      <w:r>
        <w:rPr>
          <w:rFonts w:ascii="楷体_GB2312" w:eastAsia="楷体_GB2312"/>
          <w:szCs w:val="32"/>
        </w:rPr>
        <w:t>（八）从业企业信用评价结果的有效期。</w:t>
      </w:r>
      <w:r>
        <w:rPr>
          <w:rFonts w:ascii="仿宋_GB2312"/>
          <w:szCs w:val="32"/>
        </w:rPr>
        <w:t>从业企业信用评价结果有效期为1年。下一年度从业企业无信用评价结果的，其信用评价等级可延续1年。延续1年后仍无信用评价结果的，按照初次进入我省评价确定，但不得高于其最近评价等级的上一等级。</w:t>
      </w:r>
    </w:p>
    <w:p>
      <w:pPr>
        <w:overflowPunct w:val="0"/>
        <w:spacing w:line="580" w:lineRule="exact"/>
        <w:ind w:firstLine="640" w:firstLineChars="200"/>
        <w:rPr>
          <w:rFonts w:ascii="黑体" w:hAnsi="黑体" w:eastAsia="黑体"/>
          <w:szCs w:val="32"/>
        </w:rPr>
      </w:pPr>
      <w:r>
        <w:rPr>
          <w:rFonts w:ascii="黑体" w:hAnsi="黑体" w:eastAsia="黑体"/>
          <w:szCs w:val="32"/>
        </w:rPr>
        <w:t>四、公路养护工程从业企业信用结果应用</w:t>
      </w:r>
    </w:p>
    <w:p>
      <w:pPr>
        <w:shd w:val="clear" w:color="auto" w:fill="FFFFFF"/>
        <w:overflowPunct w:val="0"/>
        <w:spacing w:line="580" w:lineRule="exact"/>
        <w:ind w:firstLine="640" w:firstLineChars="200"/>
        <w:rPr>
          <w:rFonts w:hint="eastAsia" w:ascii="仿宋_GB2312"/>
          <w:szCs w:val="32"/>
        </w:rPr>
      </w:pPr>
      <w:r>
        <w:rPr>
          <w:rFonts w:ascii="仿宋_GB2312"/>
          <w:szCs w:val="32"/>
        </w:rPr>
        <w:t>（一）</w:t>
      </w:r>
      <w:r>
        <w:rPr>
          <w:rFonts w:hint="eastAsia" w:ascii="仿宋_GB2312"/>
          <w:szCs w:val="32"/>
        </w:rPr>
        <w:t>公路养护从业资质审批、公路养护工程设计招标、公路养护工程施工招标、承担应急养护工程以及示范、试点项目评选等工作应当依法依规应用企业的信用评价结果。</w:t>
      </w:r>
    </w:p>
    <w:p>
      <w:pPr>
        <w:overflowPunct w:val="0"/>
        <w:spacing w:line="580" w:lineRule="exact"/>
        <w:ind w:firstLine="640" w:firstLineChars="200"/>
        <w:rPr>
          <w:szCs w:val="32"/>
        </w:rPr>
      </w:pPr>
      <w:r>
        <w:rPr>
          <w:rFonts w:ascii="楷体_GB2312" w:eastAsia="楷体_GB2312"/>
          <w:szCs w:val="32"/>
        </w:rPr>
        <w:t>（二）分级分类监管。</w:t>
      </w:r>
      <w:r>
        <w:rPr>
          <w:rFonts w:ascii="仿宋_GB2312"/>
          <w:szCs w:val="32"/>
        </w:rPr>
        <w:t>根据公路养护设计施工企业信用评价结果实施分级分类监管。将信用评价结果作为“双随机”抽查监管依据，适当降低或提高抽查比例。对于AA、A、B、C、D级企业，抽查比例可分别设置为当年度计划抽查比例的30%、50%、100%、150%、200%。</w:t>
      </w:r>
    </w:p>
    <w:p>
      <w:pPr>
        <w:overflowPunct w:val="0"/>
        <w:spacing w:line="580" w:lineRule="exact"/>
        <w:ind w:firstLine="640" w:firstLineChars="200"/>
        <w:rPr>
          <w:rFonts w:ascii="仿宋_GB2312"/>
          <w:szCs w:val="32"/>
        </w:rPr>
      </w:pPr>
      <w:r>
        <w:rPr>
          <w:rFonts w:ascii="楷体_GB2312" w:eastAsia="楷体_GB2312"/>
          <w:szCs w:val="32"/>
        </w:rPr>
        <w:t>（三）信用奖惩措施。</w:t>
      </w:r>
      <w:r>
        <w:rPr>
          <w:rFonts w:ascii="仿宋_GB2312"/>
          <w:szCs w:val="32"/>
        </w:rPr>
        <w:t>信用评价结果作为养护工程设计、施工招标工作信用评分的依据。项目业主单位在进行养护工程设计、施工招标资格预审或招标评标时，可以设置一定的信用奖惩措施。</w:t>
      </w:r>
    </w:p>
    <w:p>
      <w:pPr>
        <w:tabs>
          <w:tab w:val="left" w:pos="0"/>
        </w:tabs>
        <w:overflowPunct w:val="0"/>
        <w:adjustRightInd w:val="0"/>
        <w:snapToGrid w:val="0"/>
        <w:spacing w:line="580" w:lineRule="exact"/>
        <w:ind w:firstLine="640" w:firstLineChars="200"/>
        <w:rPr>
          <w:rFonts w:ascii="仿宋_GB2312"/>
          <w:szCs w:val="32"/>
        </w:rPr>
      </w:pPr>
      <w:r>
        <w:rPr>
          <w:rFonts w:ascii="仿宋_GB2312"/>
          <w:szCs w:val="32"/>
        </w:rPr>
        <w:t>1</w:t>
      </w:r>
      <w:r>
        <w:rPr>
          <w:rFonts w:hint="eastAsia" w:ascii="仿宋_GB2312"/>
          <w:szCs w:val="32"/>
        </w:rPr>
        <w:t>.</w:t>
      </w:r>
      <w:r>
        <w:rPr>
          <w:rFonts w:ascii="仿宋_GB2312"/>
          <w:szCs w:val="32"/>
        </w:rPr>
        <w:t>对于信用等级为AA级、A级的投标人，招标人可以分别给予不同程度的履约担保优惠奖励；</w:t>
      </w:r>
    </w:p>
    <w:p>
      <w:pPr>
        <w:tabs>
          <w:tab w:val="left" w:pos="0"/>
        </w:tabs>
        <w:overflowPunct w:val="0"/>
        <w:adjustRightInd w:val="0"/>
        <w:snapToGrid w:val="0"/>
        <w:spacing w:line="580" w:lineRule="exact"/>
        <w:ind w:firstLine="640" w:firstLineChars="200"/>
        <w:rPr>
          <w:rFonts w:ascii="仿宋_GB2312"/>
          <w:szCs w:val="32"/>
        </w:rPr>
      </w:pPr>
      <w:r>
        <w:rPr>
          <w:rFonts w:ascii="仿宋_GB2312"/>
          <w:szCs w:val="32"/>
        </w:rPr>
        <w:t>2</w:t>
      </w:r>
      <w:r>
        <w:rPr>
          <w:rFonts w:hint="eastAsia" w:ascii="仿宋_GB2312"/>
          <w:szCs w:val="32"/>
        </w:rPr>
        <w:t>.</w:t>
      </w:r>
      <w:r>
        <w:rPr>
          <w:rFonts w:ascii="仿宋_GB2312"/>
          <w:szCs w:val="32"/>
        </w:rPr>
        <w:t>对于信用等级为AA级的投标人，招标人可以给予减免投标保证金额度、减少质量保证金额度、提前返还质量保证金等优惠奖励；</w:t>
      </w:r>
    </w:p>
    <w:p>
      <w:pPr>
        <w:tabs>
          <w:tab w:val="left" w:pos="0"/>
        </w:tabs>
        <w:overflowPunct w:val="0"/>
        <w:adjustRightInd w:val="0"/>
        <w:snapToGrid w:val="0"/>
        <w:spacing w:line="580" w:lineRule="exact"/>
        <w:ind w:firstLine="640" w:firstLineChars="200"/>
        <w:rPr>
          <w:rFonts w:ascii="仿宋_GB2312"/>
          <w:szCs w:val="32"/>
        </w:rPr>
      </w:pPr>
      <w:r>
        <w:rPr>
          <w:rFonts w:ascii="仿宋_GB2312"/>
          <w:szCs w:val="32"/>
        </w:rPr>
        <w:t>3</w:t>
      </w:r>
      <w:r>
        <w:rPr>
          <w:rFonts w:hint="eastAsia" w:ascii="仿宋_GB2312"/>
          <w:szCs w:val="32"/>
        </w:rPr>
        <w:t>.</w:t>
      </w:r>
      <w:r>
        <w:rPr>
          <w:rFonts w:ascii="仿宋_GB2312"/>
          <w:szCs w:val="32"/>
        </w:rPr>
        <w:t>招标人可以根据从业企业信用评价等级，给予一定的加减分：投标人信用评价等级为AA级的，得分为+2分；投标人信用评价等级为A级的，得分为+1分；投标人信用评价等级为B级的，招标人可以不予加（或扣）分；投标人信用评价等级为C级的，得分为-1分；投标人信用评价等级为D级的，得分在-2至-5分间，具体由招标人自行确定。</w:t>
      </w:r>
    </w:p>
    <w:p>
      <w:pPr>
        <w:shd w:val="clear" w:color="auto" w:fill="FFFFFF"/>
        <w:overflowPunct w:val="0"/>
        <w:spacing w:line="580" w:lineRule="exact"/>
        <w:ind w:firstLine="640" w:firstLineChars="200"/>
        <w:rPr>
          <w:rFonts w:ascii="楷体_GB2312" w:eastAsia="楷体_GB2312"/>
          <w:szCs w:val="32"/>
        </w:rPr>
      </w:pPr>
      <w:r>
        <w:rPr>
          <w:rFonts w:ascii="楷体_GB2312" w:eastAsia="楷体_GB2312"/>
          <w:szCs w:val="32"/>
        </w:rPr>
        <w:t>（四）鼓励应急养护工程和示范、试点项目优先选择信用等级A级以上的从业企业。</w:t>
      </w:r>
    </w:p>
    <w:p>
      <w:pPr>
        <w:shd w:val="clear" w:color="auto" w:fill="FFFFFF"/>
        <w:overflowPunct w:val="0"/>
        <w:spacing w:line="580" w:lineRule="exact"/>
        <w:ind w:firstLine="640" w:firstLineChars="200"/>
        <w:rPr>
          <w:rFonts w:ascii="楷体_GB2312" w:eastAsia="楷体_GB2312"/>
          <w:szCs w:val="32"/>
        </w:rPr>
      </w:pPr>
      <w:r>
        <w:rPr>
          <w:rFonts w:ascii="楷体_GB2312" w:eastAsia="楷体_GB2312"/>
          <w:szCs w:val="32"/>
        </w:rPr>
        <w:t>（五）交通运输部门对AA级从业企业，可以采取下列激励性措施：</w:t>
      </w:r>
    </w:p>
    <w:p>
      <w:pPr>
        <w:overflowPunct w:val="0"/>
        <w:spacing w:line="580" w:lineRule="exact"/>
        <w:ind w:firstLine="640" w:firstLineChars="200"/>
        <w:rPr>
          <w:rFonts w:hint="eastAsia" w:ascii="仿宋_GB2312"/>
          <w:szCs w:val="32"/>
        </w:rPr>
      </w:pPr>
      <w:r>
        <w:rPr>
          <w:rFonts w:hint="eastAsia" w:ascii="仿宋_GB2312"/>
          <w:szCs w:val="32"/>
        </w:rPr>
        <w:t>1.在企业从业资质审核过程中可适用容缺受理、告知承诺等便利性措施；</w:t>
      </w:r>
    </w:p>
    <w:p>
      <w:pPr>
        <w:overflowPunct w:val="0"/>
        <w:spacing w:line="580" w:lineRule="exact"/>
        <w:ind w:firstLine="640" w:firstLineChars="200"/>
        <w:rPr>
          <w:rFonts w:hint="eastAsia" w:ascii="仿宋_GB2312"/>
          <w:szCs w:val="32"/>
        </w:rPr>
      </w:pPr>
      <w:r>
        <w:rPr>
          <w:rFonts w:hint="eastAsia" w:ascii="仿宋_GB2312"/>
          <w:szCs w:val="32"/>
        </w:rPr>
        <w:t>2.在荣誉表彰及评优活动中，在同等条件下，优先考虑；</w:t>
      </w:r>
    </w:p>
    <w:p>
      <w:pPr>
        <w:overflowPunct w:val="0"/>
        <w:spacing w:line="580" w:lineRule="exact"/>
        <w:ind w:firstLine="640" w:firstLineChars="200"/>
        <w:rPr>
          <w:rFonts w:hint="eastAsia" w:ascii="仿宋_GB2312"/>
          <w:szCs w:val="32"/>
        </w:rPr>
      </w:pPr>
      <w:r>
        <w:rPr>
          <w:rFonts w:hint="eastAsia" w:ascii="仿宋_GB2312"/>
          <w:szCs w:val="32"/>
        </w:rPr>
        <w:t>3.以邀请招标、议标、直接发包等形式确定公路养护工程从业企业的项目、应急养护工程以及示范、试点项目，优先选用。</w:t>
      </w:r>
    </w:p>
    <w:p>
      <w:pPr>
        <w:shd w:val="clear" w:color="auto" w:fill="FFFFFF"/>
        <w:overflowPunct w:val="0"/>
        <w:spacing w:line="580" w:lineRule="exact"/>
        <w:ind w:firstLine="640" w:firstLineChars="200"/>
        <w:rPr>
          <w:rFonts w:hint="eastAsia" w:ascii="楷体_GB2312" w:hAnsi="黑体" w:eastAsia="楷体_GB2312"/>
          <w:szCs w:val="32"/>
        </w:rPr>
      </w:pPr>
      <w:r>
        <w:rPr>
          <w:rFonts w:hint="eastAsia" w:ascii="楷体_GB2312" w:hAnsi="黑体" w:eastAsia="楷体_GB2312"/>
          <w:szCs w:val="32"/>
        </w:rPr>
        <w:t>（六）交通运输部门对D级从业企业，纳入行业重点关注对象名单，可以采取下列监管措施：</w:t>
      </w:r>
    </w:p>
    <w:p>
      <w:pPr>
        <w:overflowPunct w:val="0"/>
        <w:spacing w:line="580" w:lineRule="exact"/>
        <w:ind w:firstLine="640" w:firstLineChars="200"/>
        <w:rPr>
          <w:rFonts w:hint="eastAsia" w:ascii="仿宋_GB2312"/>
          <w:szCs w:val="32"/>
        </w:rPr>
      </w:pPr>
      <w:r>
        <w:rPr>
          <w:rFonts w:hint="eastAsia" w:ascii="仿宋_GB2312"/>
          <w:szCs w:val="32"/>
        </w:rPr>
        <w:t>1.对企业从业资质延续、变更等事项进行重点审查，不适用容缺受理、告知承诺等便利措施；</w:t>
      </w:r>
    </w:p>
    <w:p>
      <w:pPr>
        <w:overflowPunct w:val="0"/>
        <w:spacing w:line="580" w:lineRule="exact"/>
        <w:ind w:firstLine="640" w:firstLineChars="200"/>
        <w:rPr>
          <w:rFonts w:hint="eastAsia" w:ascii="仿宋_GB2312"/>
          <w:szCs w:val="32"/>
        </w:rPr>
      </w:pPr>
      <w:r>
        <w:rPr>
          <w:rFonts w:hint="eastAsia" w:ascii="仿宋_GB2312"/>
          <w:szCs w:val="32"/>
        </w:rPr>
        <w:t>2.取消其参加当年评先评优资格。</w:t>
      </w:r>
    </w:p>
    <w:p>
      <w:pPr>
        <w:shd w:val="clear" w:color="auto" w:fill="FFFFFF"/>
        <w:overflowPunct w:val="0"/>
        <w:spacing w:line="580" w:lineRule="exact"/>
        <w:ind w:firstLine="640" w:firstLineChars="200"/>
        <w:rPr>
          <w:rFonts w:ascii="楷体_GB2312" w:eastAsia="楷体_GB2312"/>
          <w:szCs w:val="32"/>
        </w:rPr>
      </w:pPr>
      <w:r>
        <w:rPr>
          <w:rFonts w:ascii="楷体_GB2312" w:eastAsia="楷体_GB2312"/>
          <w:szCs w:val="32"/>
        </w:rPr>
        <w:t>（七）交通运输部门对列入严重失信名单的从业企业，可以依法依规实施市场和行业禁入（退出）的惩戒性措施。</w:t>
      </w:r>
    </w:p>
    <w:p>
      <w:pPr>
        <w:overflowPunct w:val="0"/>
        <w:spacing w:line="580" w:lineRule="exact"/>
        <w:ind w:firstLine="640" w:firstLineChars="200"/>
        <w:rPr>
          <w:szCs w:val="32"/>
        </w:rPr>
      </w:pPr>
    </w:p>
    <w:p>
      <w:pPr>
        <w:overflowPunct w:val="0"/>
        <w:spacing w:line="580" w:lineRule="exact"/>
        <w:ind w:firstLine="640" w:firstLineChars="200"/>
        <w:rPr>
          <w:rFonts w:hint="eastAsia" w:ascii="仿宋_GB2312"/>
          <w:szCs w:val="32"/>
        </w:rPr>
      </w:pPr>
      <w:r>
        <w:rPr>
          <w:rFonts w:hint="eastAsia" w:ascii="仿宋_GB2312"/>
          <w:szCs w:val="32"/>
        </w:rPr>
        <w:t>附件：3-1.公路养护工程设计企业信用评价标准</w:t>
      </w:r>
    </w:p>
    <w:p>
      <w:pPr>
        <w:overflowPunct w:val="0"/>
        <w:spacing w:line="580" w:lineRule="exact"/>
        <w:ind w:firstLine="1600" w:firstLineChars="500"/>
        <w:rPr>
          <w:rFonts w:hint="eastAsia" w:ascii="仿宋_GB2312"/>
          <w:szCs w:val="32"/>
        </w:rPr>
      </w:pPr>
      <w:r>
        <w:rPr>
          <w:rFonts w:hint="eastAsia" w:ascii="仿宋_GB2312"/>
          <w:szCs w:val="32"/>
        </w:rPr>
        <w:t>3-2.公路养护工程施工企业信用评价标准</w:t>
      </w:r>
    </w:p>
    <w:p>
      <w:pPr>
        <w:overflowPunct w:val="0"/>
        <w:spacing w:line="580" w:lineRule="exact"/>
        <w:rPr>
          <w:rFonts w:ascii="黑体" w:hAnsi="黑体" w:eastAsia="黑体"/>
          <w:szCs w:val="32"/>
        </w:rPr>
      </w:pPr>
      <w:r>
        <w:rPr>
          <w:rFonts w:hAnsi="黑体" w:eastAsia="黑体"/>
          <w:szCs w:val="32"/>
        </w:rPr>
        <w:br w:type="page"/>
      </w:r>
      <w:r>
        <w:rPr>
          <w:rFonts w:ascii="黑体" w:hAnsi="黑体" w:eastAsia="黑体"/>
          <w:szCs w:val="32"/>
        </w:rPr>
        <w:t>附件</w:t>
      </w:r>
      <w:r>
        <w:rPr>
          <w:rFonts w:hint="eastAsia" w:ascii="黑体" w:hAnsi="黑体" w:eastAsia="黑体"/>
          <w:szCs w:val="32"/>
        </w:rPr>
        <w:t>3-</w:t>
      </w:r>
      <w:r>
        <w:rPr>
          <w:rFonts w:ascii="黑体" w:hAnsi="黑体" w:eastAsia="黑体"/>
          <w:szCs w:val="32"/>
        </w:rPr>
        <w:t>1</w:t>
      </w:r>
    </w:p>
    <w:p>
      <w:pPr>
        <w:overflowPunct w:val="0"/>
        <w:spacing w:line="580" w:lineRule="exact"/>
        <w:jc w:val="center"/>
        <w:rPr>
          <w:rFonts w:hint="eastAsia" w:ascii="方正小标宋简体" w:eastAsia="方正小标宋简体"/>
          <w:sz w:val="44"/>
          <w:szCs w:val="44"/>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公路养护工程设计企业信用评价标准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02"/>
        <w:gridCol w:w="1123"/>
        <w:gridCol w:w="4112"/>
        <w:gridCol w:w="1288"/>
        <w:gridCol w:w="1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60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112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411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评价指标</w:t>
            </w:r>
          </w:p>
        </w:tc>
        <w:tc>
          <w:tcPr>
            <w:tcW w:w="128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72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1123"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市场信用（200分）</w:t>
            </w:r>
          </w:p>
        </w:tc>
        <w:tc>
          <w:tcPr>
            <w:tcW w:w="4112"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被确定中标后，无正当理由放弃中标的</w:t>
            </w:r>
          </w:p>
        </w:tc>
        <w:tc>
          <w:tcPr>
            <w:tcW w:w="1288"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-150分</w:t>
            </w:r>
          </w:p>
        </w:tc>
        <w:tc>
          <w:tcPr>
            <w:tcW w:w="1720"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对评价周期近2年内发生的行为扣分。出现多个评价单元时，此历史数据不计入加权重计算。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112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在行政事项办理过程中作出信用承诺但未履行的</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1123" w:type="dxa"/>
            <w:vMerge w:val="restart"/>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服务信用（700分）</w:t>
            </w: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将承包的工程转包、违法分包的</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112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在项目执行过程中因从业企业自身原因中途私自中止或被有关部门责令清退的</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112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因设计质量、服务质量等原因被市级及以上交通公路部门通报批评的</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-50分/次</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112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因设计不到位或未按审查意见修改到位等原因，未通过设计审查或被退回重新设计的</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112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未按要求派驻设计代表或设计代表服务时间不满足合同规定的要求</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-25分/人次</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112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不积极参加图纸会审、设计交底、施工协调、工程质量处理以及不配合上级部门检查的</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-25分/次</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1123" w:type="dxa"/>
            <w:vMerge w:val="continue"/>
            <w:noWrap w:val="0"/>
            <w:tcMar>
              <w:top w:w="45" w:type="dxa"/>
              <w:bottom w:w="45" w:type="dxa"/>
            </w:tcMar>
            <w:vAlign w:val="center"/>
          </w:tcPr>
          <w:p>
            <w:pPr>
              <w:overflowPunct w:val="0"/>
              <w:contextualSpacing/>
              <w:jc w:val="center"/>
              <w:rPr>
                <w:rFonts w:hint="eastAsia" w:ascii="仿宋_GB2312"/>
                <w:sz w:val="24"/>
                <w:szCs w:val="24"/>
              </w:rPr>
            </w:pPr>
          </w:p>
        </w:tc>
        <w:tc>
          <w:tcPr>
            <w:tcW w:w="4112" w:type="dxa"/>
            <w:noWrap w:val="0"/>
            <w:tcMar>
              <w:top w:w="45" w:type="dxa"/>
              <w:bottom w:w="45" w:type="dxa"/>
            </w:tcMar>
            <w:vAlign w:val="center"/>
          </w:tcPr>
          <w:p>
            <w:pPr>
              <w:overflowPunct w:val="0"/>
              <w:contextualSpacing/>
              <w:rPr>
                <w:rFonts w:hint="eastAsia" w:ascii="仿宋_GB2312"/>
                <w:sz w:val="24"/>
                <w:szCs w:val="24"/>
              </w:rPr>
            </w:pPr>
            <w:r>
              <w:rPr>
                <w:rFonts w:hint="eastAsia" w:ascii="仿宋_GB2312"/>
                <w:sz w:val="24"/>
                <w:szCs w:val="24"/>
              </w:rPr>
              <w:t>未按合同约定时间完成设计并提交设计成果的</w:t>
            </w:r>
          </w:p>
        </w:tc>
        <w:tc>
          <w:tcPr>
            <w:tcW w:w="1288" w:type="dxa"/>
            <w:noWrap w:val="0"/>
            <w:tcMar>
              <w:top w:w="45" w:type="dxa"/>
              <w:bottom w:w="45"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720" w:type="dxa"/>
            <w:noWrap w:val="0"/>
            <w:tcMar>
              <w:top w:w="45" w:type="dxa"/>
              <w:bottom w:w="45" w:type="dxa"/>
            </w:tcMar>
            <w:vAlign w:val="center"/>
          </w:tcPr>
          <w:p>
            <w:pPr>
              <w:overflowPunct w:val="0"/>
              <w:contextualSpacing/>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1123"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企业</w:t>
            </w:r>
          </w:p>
          <w:p>
            <w:pPr>
              <w:overflowPunct w:val="0"/>
              <w:contextualSpacing/>
              <w:jc w:val="center"/>
              <w:rPr>
                <w:rFonts w:hint="eastAsia" w:ascii="仿宋_GB2312"/>
                <w:sz w:val="24"/>
                <w:szCs w:val="24"/>
              </w:rPr>
            </w:pPr>
            <w:r>
              <w:rPr>
                <w:rFonts w:hint="eastAsia" w:ascii="仿宋_GB2312"/>
                <w:sz w:val="24"/>
                <w:szCs w:val="24"/>
              </w:rPr>
              <w:t>公共信用</w:t>
            </w:r>
          </w:p>
          <w:p>
            <w:pPr>
              <w:overflowPunct w:val="0"/>
              <w:contextualSpacing/>
              <w:jc w:val="center"/>
              <w:rPr>
                <w:rFonts w:hint="eastAsia" w:ascii="仿宋_GB2312"/>
                <w:sz w:val="24"/>
                <w:szCs w:val="24"/>
              </w:rPr>
            </w:pPr>
            <w:r>
              <w:rPr>
                <w:rFonts w:hint="eastAsia" w:ascii="仿宋_GB2312"/>
                <w:sz w:val="24"/>
                <w:szCs w:val="24"/>
              </w:rPr>
              <w:t>（100分）</w:t>
            </w:r>
          </w:p>
        </w:tc>
        <w:tc>
          <w:tcPr>
            <w:tcW w:w="4112"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企业公共信用评价结果</w:t>
            </w:r>
          </w:p>
        </w:tc>
        <w:tc>
          <w:tcPr>
            <w:tcW w:w="1288"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-（1000-企业公共信用评价分值）/10</w:t>
            </w:r>
          </w:p>
        </w:tc>
        <w:tc>
          <w:tcPr>
            <w:tcW w:w="172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1123"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加分项（100分）</w:t>
            </w:r>
          </w:p>
        </w:tc>
        <w:tc>
          <w:tcPr>
            <w:tcW w:w="4112"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参与编制养护工程的国家规范、地方标准和省级课题等，或养护工程设计服务、“四新技术”成果应用等方面被省级及以上交通运输部门认定为具有示范意义或通报表扬的</w:t>
            </w:r>
          </w:p>
        </w:tc>
        <w:tc>
          <w:tcPr>
            <w:tcW w:w="1288"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+20分/次</w:t>
            </w:r>
          </w:p>
        </w:tc>
        <w:tc>
          <w:tcPr>
            <w:tcW w:w="172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最高加40分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02"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112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112"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参加抢险救灾或应急养护，并被省级及以上交通运输等相关部门通报表扬的</w:t>
            </w:r>
          </w:p>
        </w:tc>
        <w:tc>
          <w:tcPr>
            <w:tcW w:w="1288"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+20分/次</w:t>
            </w:r>
          </w:p>
        </w:tc>
        <w:tc>
          <w:tcPr>
            <w:tcW w:w="172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最高加60分</w:t>
            </w:r>
          </w:p>
        </w:tc>
      </w:tr>
    </w:tbl>
    <w:p>
      <w:pPr>
        <w:overflowPunct w:val="0"/>
        <w:autoSpaceDE w:val="0"/>
        <w:adjustRightInd w:val="0"/>
        <w:spacing w:line="590" w:lineRule="exact"/>
        <w:ind w:firstLine="480" w:firstLineChars="200"/>
        <w:rPr>
          <w:rFonts w:hint="eastAsia" w:ascii="仿宋_GB2312"/>
          <w:sz w:val="24"/>
          <w:szCs w:val="28"/>
        </w:rPr>
      </w:pPr>
      <w:r>
        <w:rPr>
          <w:rFonts w:hint="eastAsia" w:ascii="仿宋_GB2312"/>
          <w:sz w:val="24"/>
          <w:szCs w:val="28"/>
        </w:rPr>
        <w:t>注：加分项部分由省级交通运输部门录入。</w:t>
      </w:r>
    </w:p>
    <w:p>
      <w:pPr>
        <w:overflowPunct w:val="0"/>
        <w:spacing w:line="590" w:lineRule="exact"/>
        <w:ind w:firstLine="640" w:firstLineChars="200"/>
        <w:rPr>
          <w:rFonts w:hint="eastAsia" w:ascii="仿宋_GB2312"/>
          <w:szCs w:val="32"/>
        </w:rPr>
      </w:pPr>
    </w:p>
    <w:p>
      <w:pPr>
        <w:overflowPunct w:val="0"/>
        <w:spacing w:line="590" w:lineRule="exact"/>
        <w:ind w:firstLine="640" w:firstLineChars="200"/>
        <w:rPr>
          <w:szCs w:val="32"/>
        </w:rPr>
      </w:pPr>
    </w:p>
    <w:p>
      <w:pPr>
        <w:overflowPunct w:val="0"/>
        <w:spacing w:line="590" w:lineRule="exact"/>
        <w:ind w:firstLine="640" w:firstLineChars="200"/>
        <w:rPr>
          <w:szCs w:val="32"/>
        </w:rPr>
      </w:pPr>
    </w:p>
    <w:p>
      <w:pPr>
        <w:overflowPunct w:val="0"/>
        <w:spacing w:line="590" w:lineRule="exact"/>
        <w:ind w:firstLine="640" w:firstLineChars="200"/>
        <w:rPr>
          <w:szCs w:val="32"/>
        </w:rPr>
      </w:pPr>
    </w:p>
    <w:p>
      <w:pPr>
        <w:overflowPunct w:val="0"/>
        <w:spacing w:line="590" w:lineRule="exact"/>
        <w:ind w:firstLine="640" w:firstLineChars="200"/>
        <w:rPr>
          <w:szCs w:val="32"/>
        </w:rPr>
      </w:pPr>
    </w:p>
    <w:p>
      <w:pPr>
        <w:overflowPunct w:val="0"/>
        <w:spacing w:line="590" w:lineRule="exact"/>
        <w:rPr>
          <w:rFonts w:hint="eastAsia" w:ascii="黑体" w:hAnsi="黑体" w:eastAsia="黑体"/>
          <w:szCs w:val="32"/>
        </w:rPr>
      </w:pPr>
      <w:r>
        <w:rPr>
          <w:rFonts w:hAnsi="黑体" w:eastAsia="黑体"/>
          <w:szCs w:val="32"/>
        </w:rPr>
        <w:br w:type="page"/>
      </w:r>
      <w:r>
        <w:rPr>
          <w:rFonts w:ascii="黑体" w:hAnsi="黑体" w:eastAsia="黑体"/>
          <w:szCs w:val="32"/>
        </w:rPr>
        <w:t>附件</w:t>
      </w:r>
      <w:r>
        <w:rPr>
          <w:rFonts w:hint="eastAsia" w:ascii="黑体" w:hAnsi="黑体" w:eastAsia="黑体"/>
          <w:szCs w:val="32"/>
        </w:rPr>
        <w:t>3-</w:t>
      </w:r>
      <w:r>
        <w:rPr>
          <w:rFonts w:ascii="黑体" w:hAnsi="黑体" w:eastAsia="黑体"/>
          <w:szCs w:val="32"/>
        </w:rPr>
        <w:t>2</w:t>
      </w:r>
    </w:p>
    <w:p>
      <w:pPr>
        <w:overflowPunct w:val="0"/>
        <w:spacing w:line="590" w:lineRule="exact"/>
        <w:rPr>
          <w:rFonts w:hAnsi="黑体" w:eastAsia="黑体"/>
          <w:szCs w:val="32"/>
        </w:rPr>
      </w:pPr>
    </w:p>
    <w:p>
      <w:pPr>
        <w:overflowPunct w:val="0"/>
        <w:spacing w:line="590" w:lineRule="exact"/>
        <w:jc w:val="center"/>
        <w:rPr>
          <w:rFonts w:hint="eastAsia" w:ascii="方正小标宋简体" w:eastAsia="方正小标宋简体"/>
          <w:sz w:val="44"/>
          <w:szCs w:val="44"/>
        </w:rPr>
      </w:pPr>
      <w:r>
        <w:rPr>
          <w:rFonts w:ascii="方正小标宋简体" w:eastAsia="方正小标宋简体"/>
          <w:sz w:val="44"/>
          <w:szCs w:val="44"/>
        </w:rPr>
        <w:t>公路养护工程施工企业信用评价标准</w:t>
      </w:r>
    </w:p>
    <w:p>
      <w:pPr>
        <w:overflowPunct w:val="0"/>
        <w:spacing w:line="590" w:lineRule="exact"/>
        <w:jc w:val="center"/>
        <w:rPr>
          <w:rFonts w:hint="eastAsia"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30"/>
        <w:gridCol w:w="1213"/>
        <w:gridCol w:w="4275"/>
        <w:gridCol w:w="1134"/>
        <w:gridCol w:w="1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63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121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427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评价标准</w:t>
            </w:r>
          </w:p>
        </w:tc>
        <w:tc>
          <w:tcPr>
            <w:tcW w:w="113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分值</w:t>
            </w:r>
          </w:p>
        </w:tc>
        <w:tc>
          <w:tcPr>
            <w:tcW w:w="159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1213"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市场</w:t>
            </w:r>
          </w:p>
          <w:p>
            <w:pPr>
              <w:overflowPunct w:val="0"/>
              <w:contextualSpacing/>
              <w:jc w:val="center"/>
              <w:rPr>
                <w:rFonts w:hint="eastAsia" w:ascii="仿宋_GB2312"/>
                <w:sz w:val="24"/>
                <w:szCs w:val="24"/>
              </w:rPr>
            </w:pPr>
            <w:r>
              <w:rPr>
                <w:rFonts w:hint="eastAsia" w:ascii="仿宋_GB2312"/>
                <w:sz w:val="24"/>
                <w:szCs w:val="24"/>
              </w:rPr>
              <w:t>信用</w:t>
            </w:r>
          </w:p>
          <w:p>
            <w:pPr>
              <w:overflowPunct w:val="0"/>
              <w:contextualSpacing/>
              <w:jc w:val="center"/>
              <w:rPr>
                <w:rFonts w:hint="eastAsia" w:ascii="仿宋_GB2312"/>
                <w:sz w:val="24"/>
                <w:szCs w:val="24"/>
              </w:rPr>
            </w:pPr>
            <w:r>
              <w:rPr>
                <w:rFonts w:hint="eastAsia" w:ascii="仿宋_GB2312"/>
                <w:sz w:val="24"/>
                <w:szCs w:val="24"/>
              </w:rPr>
              <w:t>（200分）</w:t>
            </w:r>
          </w:p>
        </w:tc>
        <w:tc>
          <w:tcPr>
            <w:tcW w:w="4275" w:type="dxa"/>
            <w:noWrap w:val="0"/>
            <w:tcMar>
              <w:top w:w="85" w:type="dxa"/>
              <w:bottom w:w="85" w:type="dxa"/>
            </w:tcMar>
            <w:vAlign w:val="center"/>
          </w:tcPr>
          <w:p>
            <w:pPr>
              <w:overflowPunct w:val="0"/>
              <w:contextualSpacing/>
              <w:rPr>
                <w:rFonts w:hint="eastAsia" w:ascii="仿宋_GB2312"/>
                <w:spacing w:val="-6"/>
                <w:sz w:val="24"/>
                <w:szCs w:val="24"/>
              </w:rPr>
            </w:pPr>
            <w:r>
              <w:rPr>
                <w:rFonts w:hint="eastAsia" w:ascii="仿宋_GB2312"/>
                <w:spacing w:val="-6"/>
                <w:sz w:val="24"/>
                <w:szCs w:val="24"/>
              </w:rPr>
              <w:t>不按规定提供工程担保或未按规定续保的</w:t>
            </w:r>
          </w:p>
        </w:tc>
        <w:tc>
          <w:tcPr>
            <w:tcW w:w="113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-50分</w:t>
            </w:r>
          </w:p>
        </w:tc>
        <w:tc>
          <w:tcPr>
            <w:tcW w:w="1593" w:type="dxa"/>
            <w:noWrap w:val="0"/>
            <w:tcMar>
              <w:top w:w="85" w:type="dxa"/>
              <w:bottom w:w="85" w:type="dxa"/>
            </w:tcMar>
            <w:vAlign w:val="center"/>
          </w:tcPr>
          <w:p>
            <w:pPr>
              <w:overflowPunct w:val="0"/>
              <w:contextualSpacing/>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1213"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4275"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被确定中标后，无正当理由放弃中标的</w:t>
            </w:r>
          </w:p>
        </w:tc>
        <w:tc>
          <w:tcPr>
            <w:tcW w:w="113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-150分</w:t>
            </w:r>
          </w:p>
        </w:tc>
        <w:tc>
          <w:tcPr>
            <w:tcW w:w="159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对评价周期近2年内发生的行为扣分。出现多个评价单元时，此历史数据不计入加权重计算。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1213"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4275"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在行政事项办理过程中作出信用承诺，</w:t>
            </w:r>
            <w:r>
              <w:rPr>
                <w:rFonts w:hint="eastAsia" w:ascii="仿宋_GB2312"/>
                <w:bCs/>
                <w:sz w:val="24"/>
                <w:szCs w:val="24"/>
              </w:rPr>
              <w:t>在规定期限内未提交材料、提交材料不符合要求或者现场核查发现承诺不实的</w:t>
            </w:r>
          </w:p>
        </w:tc>
        <w:tc>
          <w:tcPr>
            <w:tcW w:w="113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593" w:type="dxa"/>
            <w:noWrap w:val="0"/>
            <w:tcMar>
              <w:top w:w="85" w:type="dxa"/>
              <w:bottom w:w="85" w:type="dxa"/>
            </w:tcMar>
            <w:vAlign w:val="center"/>
          </w:tcPr>
          <w:p>
            <w:pPr>
              <w:overflowPunct w:val="0"/>
              <w:contextualSpacing/>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1213"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服务</w:t>
            </w:r>
          </w:p>
          <w:p>
            <w:pPr>
              <w:overflowPunct w:val="0"/>
              <w:contextualSpacing/>
              <w:jc w:val="center"/>
              <w:rPr>
                <w:rFonts w:hint="eastAsia" w:ascii="仿宋_GB2312"/>
                <w:sz w:val="24"/>
                <w:szCs w:val="24"/>
              </w:rPr>
            </w:pPr>
            <w:r>
              <w:rPr>
                <w:rFonts w:hint="eastAsia" w:ascii="仿宋_GB2312"/>
                <w:sz w:val="24"/>
                <w:szCs w:val="24"/>
              </w:rPr>
              <w:t>信用</w:t>
            </w:r>
          </w:p>
          <w:p>
            <w:pPr>
              <w:overflowPunct w:val="0"/>
              <w:contextualSpacing/>
              <w:jc w:val="center"/>
              <w:rPr>
                <w:rFonts w:hint="eastAsia" w:ascii="仿宋_GB2312"/>
                <w:sz w:val="24"/>
                <w:szCs w:val="24"/>
              </w:rPr>
            </w:pPr>
            <w:r>
              <w:rPr>
                <w:rFonts w:hint="eastAsia" w:ascii="仿宋_GB2312"/>
                <w:sz w:val="24"/>
                <w:szCs w:val="24"/>
              </w:rPr>
              <w:t>（500分）</w:t>
            </w: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未按规定要求，将工程转包、违法分包的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-150分</w:t>
            </w:r>
          </w:p>
        </w:tc>
        <w:tc>
          <w:tcPr>
            <w:tcW w:w="1593" w:type="dxa"/>
            <w:noWrap w:val="0"/>
            <w:tcMar>
              <w:top w:w="57" w:type="dxa"/>
              <w:bottom w:w="57" w:type="dxa"/>
            </w:tcMar>
            <w:vAlign w:val="center"/>
          </w:tcPr>
          <w:p>
            <w:pPr>
              <w:overflowPunct w:val="0"/>
              <w:contextualSpacing/>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12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在项目执行过程中因从业企业自身原因中途私自撤场的或被有关部门责令清退的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593" w:type="dxa"/>
            <w:noWrap w:val="0"/>
            <w:tcMar>
              <w:top w:w="57" w:type="dxa"/>
              <w:bottom w:w="57" w:type="dxa"/>
            </w:tcMar>
            <w:vAlign w:val="center"/>
          </w:tcPr>
          <w:p>
            <w:pPr>
              <w:overflowPunct w:val="0"/>
              <w:contextualSpacing/>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12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项目负责人、技术负责人、施工管理人员数量，或拌合楼、摊铺机、压路机等主要设备未按合同承诺到位或者未经业主同意发生变更的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-20分/</w:t>
            </w:r>
          </w:p>
          <w:p>
            <w:pPr>
              <w:overflowPunct w:val="0"/>
              <w:contextualSpacing/>
              <w:jc w:val="center"/>
              <w:rPr>
                <w:rFonts w:hint="eastAsia" w:ascii="仿宋_GB2312"/>
                <w:sz w:val="24"/>
                <w:szCs w:val="24"/>
              </w:rPr>
            </w:pPr>
            <w:r>
              <w:rPr>
                <w:rFonts w:hint="eastAsia" w:ascii="仿宋_GB2312"/>
                <w:sz w:val="24"/>
                <w:szCs w:val="24"/>
              </w:rPr>
              <w:t>人次</w:t>
            </w:r>
          </w:p>
        </w:tc>
        <w:tc>
          <w:tcPr>
            <w:tcW w:w="1593"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1213"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4275"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未按照国务院交通运输主管部门规定的技术规范和操作规程进行公路养护作业的，或未按照施工组织设计明确的施工工艺、时间节点实施公路养护作业的</w:t>
            </w:r>
          </w:p>
        </w:tc>
        <w:tc>
          <w:tcPr>
            <w:tcW w:w="113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-20/次</w:t>
            </w:r>
          </w:p>
        </w:tc>
        <w:tc>
          <w:tcPr>
            <w:tcW w:w="159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1213"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4275"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因施工单位原因导致未在合同工期内完工的，或未在完工后2个月内交竣工的</w:t>
            </w:r>
          </w:p>
        </w:tc>
        <w:tc>
          <w:tcPr>
            <w:tcW w:w="113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593"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每延迟1天交工验收加扣10分，最高扣200分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9</w:t>
            </w:r>
          </w:p>
        </w:tc>
        <w:tc>
          <w:tcPr>
            <w:tcW w:w="1213"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服务</w:t>
            </w:r>
          </w:p>
          <w:p>
            <w:pPr>
              <w:overflowPunct w:val="0"/>
              <w:contextualSpacing/>
              <w:jc w:val="center"/>
              <w:rPr>
                <w:rFonts w:hint="eastAsia" w:ascii="仿宋_GB2312"/>
                <w:sz w:val="24"/>
                <w:szCs w:val="24"/>
              </w:rPr>
            </w:pPr>
            <w:r>
              <w:rPr>
                <w:rFonts w:hint="eastAsia" w:ascii="仿宋_GB2312"/>
                <w:sz w:val="24"/>
                <w:szCs w:val="24"/>
              </w:rPr>
              <w:t>信用</w:t>
            </w:r>
          </w:p>
          <w:p>
            <w:pPr>
              <w:overflowPunct w:val="0"/>
              <w:contextualSpacing/>
              <w:jc w:val="center"/>
              <w:rPr>
                <w:rFonts w:hint="eastAsia" w:ascii="仿宋_GB2312"/>
                <w:sz w:val="24"/>
                <w:szCs w:val="24"/>
              </w:rPr>
            </w:pPr>
            <w:r>
              <w:rPr>
                <w:rFonts w:hint="eastAsia" w:ascii="仿宋_GB2312"/>
                <w:sz w:val="24"/>
                <w:szCs w:val="24"/>
              </w:rPr>
              <w:t>（500分）</w:t>
            </w: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被各级政府或者主管部门要求整改，或拒不整改的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-10/次</w:t>
            </w:r>
          </w:p>
        </w:tc>
        <w:tc>
          <w:tcPr>
            <w:tcW w:w="1593"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要求整改的扣10分/次，拒不整改的扣10分/次，最高扣100分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w:t>
            </w:r>
          </w:p>
        </w:tc>
        <w:tc>
          <w:tcPr>
            <w:tcW w:w="12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交竣工验收后，未按时完成整改的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-20分</w:t>
            </w:r>
          </w:p>
        </w:tc>
        <w:tc>
          <w:tcPr>
            <w:tcW w:w="1593" w:type="dxa"/>
            <w:noWrap w:val="0"/>
            <w:tcMar>
              <w:top w:w="57" w:type="dxa"/>
              <w:bottom w:w="57" w:type="dxa"/>
            </w:tcMar>
            <w:vAlign w:val="center"/>
          </w:tcPr>
          <w:p>
            <w:pPr>
              <w:overflowPunct w:val="0"/>
              <w:contextualSpacing/>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11</w:t>
            </w:r>
          </w:p>
        </w:tc>
        <w:tc>
          <w:tcPr>
            <w:tcW w:w="12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往年路面大中修路段完工后2年内（预防性养护工程完工后1年内）路面破损指数PCI均值（按公里计算均值）下降至90以下。非设计原因，且施工单位拒不配合整治提升路况的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593" w:type="dxa"/>
            <w:vMerge w:val="restart"/>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出现多个评价单元时，此历史数据不计入加权重计算。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12</w:t>
            </w:r>
          </w:p>
        </w:tc>
        <w:tc>
          <w:tcPr>
            <w:tcW w:w="12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未依法履行工程质量保修义务或拖延履行保修义务的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-100分</w:t>
            </w:r>
          </w:p>
        </w:tc>
        <w:tc>
          <w:tcPr>
            <w:tcW w:w="1593" w:type="dxa"/>
            <w:vMerge w:val="continue"/>
            <w:noWrap w:val="0"/>
            <w:tcMar>
              <w:top w:w="57" w:type="dxa"/>
              <w:bottom w:w="57" w:type="dxa"/>
            </w:tcMar>
            <w:vAlign w:val="center"/>
          </w:tcPr>
          <w:p>
            <w:pPr>
              <w:overflowPunct w:val="0"/>
              <w:contextualSpacing/>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13</w:t>
            </w:r>
          </w:p>
        </w:tc>
        <w:tc>
          <w:tcPr>
            <w:tcW w:w="1213"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安全</w:t>
            </w:r>
          </w:p>
          <w:p>
            <w:pPr>
              <w:overflowPunct w:val="0"/>
              <w:contextualSpacing/>
              <w:jc w:val="center"/>
              <w:rPr>
                <w:rFonts w:hint="eastAsia" w:ascii="仿宋_GB2312"/>
                <w:sz w:val="24"/>
                <w:szCs w:val="24"/>
              </w:rPr>
            </w:pPr>
            <w:r>
              <w:rPr>
                <w:rFonts w:hint="eastAsia" w:ascii="仿宋_GB2312"/>
                <w:sz w:val="24"/>
                <w:szCs w:val="24"/>
              </w:rPr>
              <w:t>信用</w:t>
            </w:r>
          </w:p>
          <w:p>
            <w:pPr>
              <w:overflowPunct w:val="0"/>
              <w:contextualSpacing/>
              <w:jc w:val="center"/>
              <w:rPr>
                <w:rFonts w:hint="eastAsia" w:ascii="仿宋_GB2312"/>
                <w:sz w:val="24"/>
                <w:szCs w:val="24"/>
              </w:rPr>
            </w:pPr>
            <w:r>
              <w:rPr>
                <w:rFonts w:hint="eastAsia" w:ascii="仿宋_GB2312"/>
                <w:sz w:val="24"/>
                <w:szCs w:val="24"/>
              </w:rPr>
              <w:t>（200分）</w:t>
            </w: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项目发生质量、安全责任事故，隐瞒或谎报、拖延报告养护作业质量安全事故，破坏事故现场、阻碍对事故调查的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-50分/次</w:t>
            </w:r>
          </w:p>
        </w:tc>
        <w:tc>
          <w:tcPr>
            <w:tcW w:w="1593"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14</w:t>
            </w:r>
          </w:p>
        </w:tc>
        <w:tc>
          <w:tcPr>
            <w:tcW w:w="12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特种设备未经专业资质的机构检测、检验合格，未取得安全管理证件或者使用标志而投入使用的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-50分/次</w:t>
            </w:r>
          </w:p>
        </w:tc>
        <w:tc>
          <w:tcPr>
            <w:tcW w:w="1593"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15</w:t>
            </w:r>
          </w:p>
        </w:tc>
        <w:tc>
          <w:tcPr>
            <w:tcW w:w="1213"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企业</w:t>
            </w:r>
          </w:p>
          <w:p>
            <w:pPr>
              <w:overflowPunct w:val="0"/>
              <w:contextualSpacing/>
              <w:jc w:val="center"/>
              <w:rPr>
                <w:rFonts w:hint="eastAsia" w:ascii="仿宋_GB2312"/>
                <w:sz w:val="24"/>
                <w:szCs w:val="24"/>
              </w:rPr>
            </w:pPr>
            <w:r>
              <w:rPr>
                <w:rFonts w:hint="eastAsia" w:ascii="仿宋_GB2312"/>
                <w:sz w:val="24"/>
                <w:szCs w:val="24"/>
              </w:rPr>
              <w:t>公共信用</w:t>
            </w:r>
          </w:p>
          <w:p>
            <w:pPr>
              <w:overflowPunct w:val="0"/>
              <w:contextualSpacing/>
              <w:jc w:val="center"/>
              <w:rPr>
                <w:rFonts w:hint="eastAsia" w:ascii="仿宋_GB2312"/>
                <w:sz w:val="24"/>
                <w:szCs w:val="24"/>
              </w:rPr>
            </w:pPr>
            <w:r>
              <w:rPr>
                <w:rFonts w:hint="eastAsia" w:ascii="仿宋_GB2312"/>
                <w:sz w:val="24"/>
                <w:szCs w:val="24"/>
              </w:rPr>
              <w:t>（100分）</w:t>
            </w: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企业公共信用评价结果</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-（1000-企业公共信用评价分值）/10</w:t>
            </w:r>
          </w:p>
        </w:tc>
        <w:tc>
          <w:tcPr>
            <w:tcW w:w="1593"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最高扣100分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16</w:t>
            </w:r>
          </w:p>
        </w:tc>
        <w:tc>
          <w:tcPr>
            <w:tcW w:w="1213" w:type="dxa"/>
            <w:vMerge w:val="restart"/>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加分项</w:t>
            </w:r>
          </w:p>
          <w:p>
            <w:pPr>
              <w:overflowPunct w:val="0"/>
              <w:contextualSpacing/>
              <w:jc w:val="center"/>
              <w:rPr>
                <w:rFonts w:hint="eastAsia" w:ascii="仿宋_GB2312"/>
                <w:sz w:val="24"/>
                <w:szCs w:val="24"/>
              </w:rPr>
            </w:pPr>
            <w:r>
              <w:rPr>
                <w:rFonts w:hint="eastAsia" w:ascii="仿宋_GB2312"/>
                <w:sz w:val="24"/>
                <w:szCs w:val="24"/>
              </w:rPr>
              <w:t>（100分）</w:t>
            </w: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参与编制养护工程的国家规范、地方标准和省级课题等，或工程项目作为示范工程或承担养护“四新技术”应用被省级及以上交通运输部门推广的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+20分/次</w:t>
            </w:r>
          </w:p>
        </w:tc>
        <w:tc>
          <w:tcPr>
            <w:tcW w:w="1593"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最高加40分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0"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17</w:t>
            </w:r>
          </w:p>
        </w:tc>
        <w:tc>
          <w:tcPr>
            <w:tcW w:w="1213" w:type="dxa"/>
            <w:vMerge w:val="continue"/>
            <w:noWrap w:val="0"/>
            <w:tcMar>
              <w:top w:w="57" w:type="dxa"/>
              <w:bottom w:w="57" w:type="dxa"/>
            </w:tcMar>
            <w:vAlign w:val="center"/>
          </w:tcPr>
          <w:p>
            <w:pPr>
              <w:overflowPunct w:val="0"/>
              <w:contextualSpacing/>
              <w:jc w:val="center"/>
              <w:rPr>
                <w:rFonts w:hint="eastAsia" w:ascii="仿宋_GB2312"/>
                <w:sz w:val="24"/>
                <w:szCs w:val="24"/>
              </w:rPr>
            </w:pPr>
          </w:p>
        </w:tc>
        <w:tc>
          <w:tcPr>
            <w:tcW w:w="4275"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参加抢险救灾或应急养护，并被省级及以上交通运输等相关部门通报表扬的</w:t>
            </w:r>
          </w:p>
        </w:tc>
        <w:tc>
          <w:tcPr>
            <w:tcW w:w="113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+20分/次</w:t>
            </w:r>
          </w:p>
        </w:tc>
        <w:tc>
          <w:tcPr>
            <w:tcW w:w="1593"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最高加60分</w:t>
            </w:r>
          </w:p>
        </w:tc>
      </w:tr>
    </w:tbl>
    <w:p>
      <w:pPr>
        <w:overflowPunct w:val="0"/>
        <w:autoSpaceDE w:val="0"/>
        <w:adjustRightInd w:val="0"/>
        <w:spacing w:line="590" w:lineRule="exact"/>
        <w:ind w:firstLine="480" w:firstLineChars="200"/>
        <w:rPr>
          <w:rFonts w:hint="eastAsia" w:ascii="仿宋_GB2312"/>
          <w:sz w:val="24"/>
          <w:szCs w:val="28"/>
        </w:rPr>
      </w:pPr>
      <w:r>
        <w:rPr>
          <w:rFonts w:hint="eastAsia" w:ascii="仿宋_GB2312"/>
          <w:sz w:val="24"/>
          <w:szCs w:val="28"/>
        </w:rPr>
        <w:t>注：加分项部分由省级交通运输部门录入。</w:t>
      </w:r>
    </w:p>
    <w:p>
      <w:pPr>
        <w:overflowPunct w:val="0"/>
        <w:spacing w:line="590" w:lineRule="exact"/>
        <w:ind w:firstLine="640" w:firstLineChars="200"/>
        <w:rPr>
          <w:rFonts w:hint="eastAsia" w:ascii="仿宋_GB2312"/>
          <w:szCs w:val="32"/>
        </w:rPr>
      </w:pPr>
    </w:p>
    <w:p>
      <w:pPr>
        <w:overflowPunct w:val="0"/>
        <w:spacing w:line="580" w:lineRule="exact"/>
        <w:rPr>
          <w:rFonts w:ascii="黑体" w:hAnsi="黑体" w:eastAsia="黑体"/>
          <w:szCs w:val="32"/>
        </w:rPr>
      </w:pPr>
      <w:r>
        <w:rPr>
          <w:szCs w:val="32"/>
        </w:rPr>
        <w:br w:type="page"/>
      </w:r>
      <w:r>
        <w:rPr>
          <w:rFonts w:ascii="黑体" w:hAnsi="黑体" w:eastAsia="黑体"/>
          <w:szCs w:val="32"/>
        </w:rPr>
        <w:t>附件4</w:t>
      </w:r>
    </w:p>
    <w:p>
      <w:pPr>
        <w:overflowPunct w:val="0"/>
        <w:spacing w:line="580" w:lineRule="exact"/>
        <w:ind w:firstLine="640" w:firstLineChars="200"/>
        <w:rPr>
          <w:szCs w:val="32"/>
        </w:rPr>
      </w:pPr>
    </w:p>
    <w:p>
      <w:pPr>
        <w:overflowPunct w:val="0"/>
        <w:spacing w:line="580" w:lineRule="exact"/>
        <w:jc w:val="center"/>
        <w:rPr>
          <w:rFonts w:ascii="方正小标宋简体" w:eastAsia="方正小标宋简体"/>
          <w:sz w:val="44"/>
          <w:szCs w:val="44"/>
        </w:rPr>
      </w:pPr>
      <w:r>
        <w:rPr>
          <w:rFonts w:ascii="方正小标宋简体" w:eastAsia="方正小标宋简体"/>
          <w:sz w:val="44"/>
          <w:szCs w:val="44"/>
        </w:rPr>
        <w:t>浙江省水路运输企业信用管理实施细则</w:t>
      </w:r>
    </w:p>
    <w:p>
      <w:pPr>
        <w:overflowPunct w:val="0"/>
        <w:spacing w:line="580" w:lineRule="exact"/>
        <w:ind w:firstLine="640" w:firstLineChars="200"/>
        <w:rPr>
          <w:szCs w:val="32"/>
        </w:rPr>
      </w:pPr>
    </w:p>
    <w:p>
      <w:pPr>
        <w:overflowPunct w:val="0"/>
        <w:spacing w:line="580" w:lineRule="exact"/>
        <w:ind w:firstLine="640" w:firstLineChars="200"/>
        <w:rPr>
          <w:rFonts w:hint="eastAsia" w:ascii="仿宋_GB2312"/>
          <w:szCs w:val="32"/>
        </w:rPr>
      </w:pPr>
      <w:r>
        <w:rPr>
          <w:rFonts w:hint="eastAsia" w:ascii="仿宋_GB2312"/>
          <w:szCs w:val="32"/>
        </w:rPr>
        <w:t>为推进全省水路运输市场信用体系建设，</w:t>
      </w:r>
      <w:bookmarkStart w:id="4" w:name="_Hlk65072010"/>
      <w:r>
        <w:rPr>
          <w:rFonts w:hint="eastAsia" w:ascii="仿宋_GB2312"/>
          <w:szCs w:val="32"/>
        </w:rPr>
        <w:t>营造诚信经营环境</w:t>
      </w:r>
      <w:bookmarkEnd w:id="4"/>
      <w:r>
        <w:rPr>
          <w:rFonts w:hint="eastAsia" w:ascii="仿宋_GB2312"/>
          <w:szCs w:val="32"/>
        </w:rPr>
        <w:t>，根据交通运输部《水路运输市场信用信息管理办法（试行）》</w:t>
      </w:r>
      <w:r>
        <w:rPr>
          <w:rFonts w:hint="eastAsia" w:ascii="仿宋_GB2312"/>
          <w:bCs/>
          <w:szCs w:val="32"/>
        </w:rPr>
        <w:t>（交水办〔2017〕128号）</w:t>
      </w:r>
      <w:r>
        <w:rPr>
          <w:rFonts w:hint="eastAsia" w:ascii="仿宋_GB2312"/>
          <w:szCs w:val="32"/>
        </w:rPr>
        <w:t>等规定，结合我省水路运输实际，制定本细则。</w:t>
      </w:r>
    </w:p>
    <w:p>
      <w:pPr>
        <w:overflowPunct w:val="0"/>
        <w:spacing w:line="580" w:lineRule="exact"/>
        <w:ind w:firstLine="640" w:firstLineChars="200"/>
        <w:rPr>
          <w:rFonts w:ascii="黑体" w:hAnsi="黑体" w:eastAsia="黑体"/>
          <w:szCs w:val="32"/>
        </w:rPr>
      </w:pPr>
      <w:r>
        <w:rPr>
          <w:rFonts w:ascii="黑体" w:hAnsi="黑体" w:eastAsia="黑体"/>
          <w:szCs w:val="32"/>
        </w:rPr>
        <w:t>一、适用范围</w:t>
      </w:r>
    </w:p>
    <w:p>
      <w:pPr>
        <w:shd w:val="clear" w:color="auto" w:fill="FFFFFF"/>
        <w:overflowPunct w:val="0"/>
        <w:snapToGrid w:val="0"/>
        <w:spacing w:line="580" w:lineRule="exact"/>
        <w:ind w:firstLine="640" w:firstLineChars="200"/>
        <w:rPr>
          <w:rFonts w:hint="eastAsia"/>
          <w:szCs w:val="32"/>
        </w:rPr>
      </w:pPr>
      <w:r>
        <w:rPr>
          <w:szCs w:val="32"/>
        </w:rPr>
        <w:t>本细则适用于本省行政区域内水路运输企业的信用信息采集、归集、共享、评价和应用等管理工作。</w:t>
      </w:r>
    </w:p>
    <w:p>
      <w:pPr>
        <w:shd w:val="clear" w:color="auto" w:fill="FFFFFF"/>
        <w:overflowPunct w:val="0"/>
        <w:snapToGrid w:val="0"/>
        <w:spacing w:line="580" w:lineRule="exact"/>
        <w:ind w:firstLine="640" w:firstLineChars="200"/>
        <w:rPr>
          <w:szCs w:val="32"/>
        </w:rPr>
      </w:pPr>
      <w:r>
        <w:rPr>
          <w:szCs w:val="32"/>
        </w:rPr>
        <w:t>水路运输企业是指从事水路运输（含船舶管理业）业务经营人。</w:t>
      </w:r>
    </w:p>
    <w:p>
      <w:pPr>
        <w:overflowPunct w:val="0"/>
        <w:spacing w:line="580" w:lineRule="exact"/>
        <w:ind w:firstLine="640" w:firstLineChars="200"/>
        <w:rPr>
          <w:rFonts w:ascii="黑体" w:hAnsi="黑体" w:eastAsia="黑体"/>
          <w:szCs w:val="32"/>
        </w:rPr>
      </w:pPr>
      <w:r>
        <w:rPr>
          <w:rFonts w:ascii="黑体" w:hAnsi="黑体" w:eastAsia="黑体"/>
          <w:szCs w:val="32"/>
        </w:rPr>
        <w:t>二、水路运输企业信用信息归集</w:t>
      </w:r>
    </w:p>
    <w:p>
      <w:pPr>
        <w:shd w:val="clear" w:color="auto" w:fill="FFFFFF"/>
        <w:overflowPunct w:val="0"/>
        <w:spacing w:line="580" w:lineRule="exact"/>
        <w:ind w:firstLine="640" w:firstLineChars="200"/>
        <w:rPr>
          <w:rFonts w:ascii="仿宋_GB2312"/>
          <w:szCs w:val="32"/>
        </w:rPr>
      </w:pPr>
      <w:r>
        <w:rPr>
          <w:rFonts w:ascii="楷体_GB2312" w:eastAsia="楷体_GB2312"/>
          <w:szCs w:val="32"/>
        </w:rPr>
        <w:t>（一）水路运输企业的基础信息主要包括：</w:t>
      </w:r>
      <w:r>
        <w:rPr>
          <w:rFonts w:ascii="仿宋_GB2312"/>
          <w:szCs w:val="32"/>
        </w:rPr>
        <w:t>名称、法定代表人、统一社会信用代码等登记注册信息；取得的水路运输企业经营资质等行政许可信息；其他与信用相关反映水路运输企业基本情况的信息。</w:t>
      </w:r>
    </w:p>
    <w:p>
      <w:pPr>
        <w:shd w:val="clear" w:color="auto" w:fill="FFFFFF"/>
        <w:overflowPunct w:val="0"/>
        <w:spacing w:line="580" w:lineRule="exact"/>
        <w:ind w:firstLine="640" w:firstLineChars="200"/>
        <w:rPr>
          <w:szCs w:val="32"/>
        </w:rPr>
      </w:pPr>
      <w:r>
        <w:rPr>
          <w:rFonts w:ascii="楷体_GB2312" w:eastAsia="楷体_GB2312"/>
          <w:szCs w:val="32"/>
        </w:rPr>
        <w:t>（二）水路运输企业不良信息主要包括：</w:t>
      </w:r>
      <w:r>
        <w:rPr>
          <w:szCs w:val="32"/>
        </w:rPr>
        <w:t>在运输经营活动中违反有关法律法规的相关规定，受到各级交通运输部门责令停止经营、停产停业整顿、撤销相关经营资格或吊销相关许可证件等各类处罚情况；以及在水路运输行政管理过程中，被各级交通运输部门认定为</w:t>
      </w:r>
      <w:r>
        <w:rPr>
          <w:szCs w:val="32"/>
          <w:lang w:val="zh-CN"/>
        </w:rPr>
        <w:t>以欺骗、贿赂等不正当手段取得行政许可、行政确认、行政给付、行政奖励的信息</w:t>
      </w:r>
      <w:r>
        <w:rPr>
          <w:szCs w:val="32"/>
        </w:rPr>
        <w:t>；发生交通运输安全生产责任事故情况；</w:t>
      </w:r>
      <w:r>
        <w:rPr>
          <w:szCs w:val="32"/>
          <w:lang w:eastAsia="zh-Hans"/>
        </w:rPr>
        <w:t>经司法生效判决认定构成犯罪的信息；</w:t>
      </w:r>
      <w:r>
        <w:rPr>
          <w:szCs w:val="32"/>
        </w:rPr>
        <w:t>其他依据有关规定认定的其他不良信息。其中，以下行为认定为企业严重不良信息：</w:t>
      </w:r>
    </w:p>
    <w:p>
      <w:pPr>
        <w:overflowPunct w:val="0"/>
        <w:snapToGrid w:val="0"/>
        <w:spacing w:line="580" w:lineRule="exact"/>
        <w:ind w:firstLine="640" w:firstLineChars="200"/>
        <w:rPr>
          <w:rFonts w:hint="eastAsia" w:ascii="仿宋_GB2312"/>
          <w:szCs w:val="32"/>
        </w:rPr>
      </w:pPr>
      <w:r>
        <w:rPr>
          <w:rFonts w:hint="eastAsia" w:ascii="仿宋_GB2312"/>
          <w:szCs w:val="32"/>
        </w:rPr>
        <w:t>1.水路运输经营者未按照《国内水路运输管理规定》要求配备海务、机务管理人员的；</w:t>
      </w:r>
    </w:p>
    <w:p>
      <w:pPr>
        <w:overflowPunct w:val="0"/>
        <w:snapToGrid w:val="0"/>
        <w:spacing w:line="580" w:lineRule="exact"/>
        <w:ind w:firstLine="640" w:firstLineChars="200"/>
        <w:rPr>
          <w:rFonts w:hint="eastAsia" w:ascii="仿宋_GB2312"/>
          <w:szCs w:val="32"/>
        </w:rPr>
      </w:pPr>
      <w:r>
        <w:rPr>
          <w:rFonts w:hint="eastAsia" w:ascii="仿宋_GB2312"/>
          <w:szCs w:val="32"/>
        </w:rPr>
        <w:t>2.被纳入交通运输安全生产“黑名单”的或发生重大安全责任事故的；</w:t>
      </w:r>
    </w:p>
    <w:p>
      <w:pPr>
        <w:overflowPunct w:val="0"/>
        <w:snapToGrid w:val="0"/>
        <w:spacing w:line="580" w:lineRule="exact"/>
        <w:ind w:firstLine="640" w:firstLineChars="200"/>
        <w:rPr>
          <w:rFonts w:hint="eastAsia" w:ascii="仿宋_GB2312"/>
          <w:szCs w:val="32"/>
        </w:rPr>
      </w:pPr>
      <w:r>
        <w:rPr>
          <w:rFonts w:hint="eastAsia" w:ascii="仿宋_GB2312"/>
          <w:szCs w:val="32"/>
        </w:rPr>
        <w:t>3.隐瞒有关情况或提供虚假材料申请水路运输行政许可，或者以欺骗、贿赂等不正当手段取得水路运输相关证件或备案证明的；</w:t>
      </w:r>
    </w:p>
    <w:p>
      <w:pPr>
        <w:overflowPunct w:val="0"/>
        <w:snapToGrid w:val="0"/>
        <w:spacing w:line="580" w:lineRule="exact"/>
        <w:ind w:firstLine="640" w:firstLineChars="200"/>
        <w:rPr>
          <w:rFonts w:hint="eastAsia" w:ascii="仿宋_GB2312"/>
          <w:szCs w:val="32"/>
        </w:rPr>
      </w:pPr>
      <w:r>
        <w:rPr>
          <w:rFonts w:hint="eastAsia" w:ascii="仿宋_GB2312"/>
          <w:szCs w:val="32"/>
        </w:rPr>
        <w:t>4.出租、出借、倒卖水路运输行政许可证件或者以其他方式非法转让水路运输行政许可的；</w:t>
      </w:r>
    </w:p>
    <w:p>
      <w:pPr>
        <w:overflowPunct w:val="0"/>
        <w:snapToGrid w:val="0"/>
        <w:spacing w:line="580" w:lineRule="exact"/>
        <w:ind w:firstLine="640" w:firstLineChars="200"/>
        <w:rPr>
          <w:rFonts w:hint="eastAsia" w:ascii="仿宋_GB2312"/>
          <w:szCs w:val="32"/>
        </w:rPr>
      </w:pPr>
      <w:r>
        <w:rPr>
          <w:rFonts w:hint="eastAsia" w:ascii="仿宋_GB2312"/>
          <w:szCs w:val="32"/>
        </w:rPr>
        <w:t>5.未经许可擅自经营或者超越许可范围经营国内水路运输业务或船舶管理业务的；</w:t>
      </w:r>
    </w:p>
    <w:p>
      <w:pPr>
        <w:overflowPunct w:val="0"/>
        <w:snapToGrid w:val="0"/>
        <w:spacing w:line="580" w:lineRule="exact"/>
        <w:ind w:firstLine="640" w:firstLineChars="200"/>
        <w:rPr>
          <w:rFonts w:hint="eastAsia" w:ascii="仿宋_GB2312"/>
          <w:szCs w:val="32"/>
        </w:rPr>
      </w:pPr>
      <w:r>
        <w:rPr>
          <w:rFonts w:hint="eastAsia" w:ascii="仿宋_GB2312"/>
          <w:szCs w:val="32"/>
        </w:rPr>
        <w:t>6.伪造、变造、涂改水路运输相关证照文书、文件的；</w:t>
      </w:r>
    </w:p>
    <w:p>
      <w:pPr>
        <w:overflowPunct w:val="0"/>
        <w:snapToGrid w:val="0"/>
        <w:spacing w:line="580" w:lineRule="exact"/>
        <w:ind w:firstLine="640" w:firstLineChars="200"/>
        <w:rPr>
          <w:rFonts w:hint="eastAsia" w:ascii="仿宋_GB2312"/>
          <w:szCs w:val="32"/>
        </w:rPr>
      </w:pPr>
      <w:r>
        <w:rPr>
          <w:rFonts w:hint="eastAsia" w:ascii="仿宋_GB2312"/>
          <w:szCs w:val="32"/>
        </w:rPr>
        <w:t>7.申请国内水路运输相关财政补贴（助）资金时，采取欺骗的手段，骗取、套用、冒领的。</w:t>
      </w:r>
    </w:p>
    <w:p>
      <w:pPr>
        <w:overflowPunct w:val="0"/>
        <w:spacing w:line="580" w:lineRule="exact"/>
        <w:ind w:firstLine="640" w:firstLineChars="200"/>
        <w:rPr>
          <w:rFonts w:ascii="黑体" w:hAnsi="黑体" w:eastAsia="黑体"/>
          <w:szCs w:val="32"/>
        </w:rPr>
      </w:pPr>
      <w:r>
        <w:rPr>
          <w:rFonts w:ascii="黑体" w:hAnsi="黑体" w:eastAsia="黑体"/>
          <w:szCs w:val="32"/>
        </w:rPr>
        <w:t>三、水路运输企业信用评价</w:t>
      </w:r>
    </w:p>
    <w:p>
      <w:pPr>
        <w:overflowPunct w:val="0"/>
        <w:spacing w:line="580" w:lineRule="exact"/>
        <w:ind w:firstLine="640" w:firstLineChars="200"/>
        <w:rPr>
          <w:szCs w:val="32"/>
        </w:rPr>
      </w:pPr>
      <w:r>
        <w:rPr>
          <w:rFonts w:ascii="楷体_GB2312" w:eastAsia="楷体_GB2312"/>
          <w:szCs w:val="32"/>
        </w:rPr>
        <w:t>（一）水路运输企业的信用等级和分值。</w:t>
      </w:r>
      <w:r>
        <w:rPr>
          <w:rFonts w:hint="eastAsia" w:ascii="仿宋_GB2312"/>
          <w:szCs w:val="32"/>
        </w:rPr>
        <w:t>水路运输企业信用</w:t>
      </w:r>
      <w:r>
        <w:rPr>
          <w:rFonts w:hint="eastAsia" w:ascii="仿宋_GB2312"/>
          <w:spacing w:val="-4"/>
          <w:szCs w:val="32"/>
        </w:rPr>
        <w:t>评价总分为1000分。从业企业信用分为AA、A、B、C、D五个等级，分别对应优秀、良好、中等、较差、差。具体分值与等级为：AA级：X≥950分，A级：900分≤X＜950分，B级：750分≤X＜900分，C级：600分≤X＜750分，D级：X＜600分。</w:t>
      </w:r>
    </w:p>
    <w:p>
      <w:pPr>
        <w:overflowPunct w:val="0"/>
        <w:snapToGrid w:val="0"/>
        <w:spacing w:line="580" w:lineRule="exact"/>
        <w:ind w:firstLine="640" w:firstLineChars="200"/>
        <w:rPr>
          <w:rFonts w:hint="eastAsia" w:ascii="仿宋_GB2312"/>
          <w:szCs w:val="32"/>
        </w:rPr>
      </w:pPr>
      <w:r>
        <w:rPr>
          <w:rFonts w:ascii="楷体_GB2312" w:eastAsia="楷体_GB2312"/>
          <w:szCs w:val="32"/>
        </w:rPr>
        <w:t>（二）水路运输企业的评价周期及公示公布。</w:t>
      </w:r>
      <w:r>
        <w:rPr>
          <w:rFonts w:hint="eastAsia" w:ascii="仿宋_GB2312"/>
          <w:szCs w:val="32"/>
        </w:rPr>
        <w:t>对水路运输企业的信用等级评价结果采用数据自动归集与人工录入信息相结合，经系统自动计算后产生，评价结果数据每3个月更新一次，评价周期为每年1月1日至12月31日。年度初评结果于次年2月1日前通过浙江信用交通网站公示，公示无异议的信息于3月1日前对外公布。</w:t>
      </w:r>
    </w:p>
    <w:p>
      <w:pPr>
        <w:overflowPunct w:val="0"/>
        <w:spacing w:line="580" w:lineRule="exact"/>
        <w:ind w:firstLine="640" w:firstLineChars="200"/>
        <w:rPr>
          <w:rFonts w:ascii="黑体" w:hAnsi="黑体" w:eastAsia="黑体"/>
          <w:szCs w:val="32"/>
        </w:rPr>
      </w:pPr>
      <w:r>
        <w:rPr>
          <w:rFonts w:ascii="黑体" w:hAnsi="黑体" w:eastAsia="黑体"/>
          <w:szCs w:val="32"/>
        </w:rPr>
        <w:t>四、水路运输企业信用结果应用</w:t>
      </w:r>
    </w:p>
    <w:p>
      <w:pPr>
        <w:overflowPunct w:val="0"/>
        <w:spacing w:line="580" w:lineRule="exact"/>
        <w:ind w:firstLine="640" w:firstLineChars="200"/>
        <w:rPr>
          <w:rFonts w:ascii="仿宋_GB2312"/>
          <w:szCs w:val="32"/>
        </w:rPr>
      </w:pPr>
      <w:r>
        <w:rPr>
          <w:rFonts w:ascii="楷体_GB2312" w:eastAsia="楷体_GB2312"/>
          <w:szCs w:val="32"/>
        </w:rPr>
        <w:t>（一）分级分类监管。</w:t>
      </w:r>
      <w:r>
        <w:rPr>
          <w:rFonts w:ascii="仿宋_GB2312"/>
          <w:szCs w:val="32"/>
        </w:rPr>
        <w:t>根据水路运输企业信用评价结果对经营危险品、旅客运输的企业，按照客危运输“双随机”抽查专门规定分级分类监管执行。</w:t>
      </w:r>
    </w:p>
    <w:p>
      <w:pPr>
        <w:shd w:val="clear" w:color="auto" w:fill="FFFFFF"/>
        <w:overflowPunct w:val="0"/>
        <w:spacing w:line="580" w:lineRule="exact"/>
        <w:ind w:firstLine="640" w:firstLineChars="200"/>
        <w:rPr>
          <w:rFonts w:ascii="楷体_GB2312" w:eastAsia="楷体_GB2312"/>
          <w:szCs w:val="32"/>
        </w:rPr>
      </w:pPr>
      <w:r>
        <w:rPr>
          <w:rFonts w:eastAsia="楷体_GB2312"/>
          <w:szCs w:val="32"/>
        </w:rPr>
        <w:t>（二）对信用等级为</w:t>
      </w:r>
      <w:r>
        <w:rPr>
          <w:rFonts w:hint="eastAsia" w:ascii="楷体_GB2312" w:eastAsia="楷体_GB2312"/>
          <w:szCs w:val="32"/>
        </w:rPr>
        <w:t>AA级</w:t>
      </w:r>
      <w:r>
        <w:rPr>
          <w:rFonts w:eastAsia="楷体_GB2312"/>
          <w:szCs w:val="32"/>
        </w:rPr>
        <w:t>的水路运输企业，各级交通运输部门可对其实施以下守信激励措施：</w:t>
      </w:r>
    </w:p>
    <w:p>
      <w:pPr>
        <w:overflowPunct w:val="0"/>
        <w:snapToGrid w:val="0"/>
        <w:spacing w:line="580" w:lineRule="exact"/>
        <w:ind w:firstLine="640" w:firstLineChars="200"/>
        <w:rPr>
          <w:rFonts w:ascii="仿宋_GB2312"/>
          <w:szCs w:val="32"/>
        </w:rPr>
      </w:pPr>
      <w:r>
        <w:rPr>
          <w:rFonts w:ascii="仿宋_GB2312"/>
          <w:szCs w:val="32"/>
        </w:rPr>
        <w:t>1</w:t>
      </w:r>
      <w:r>
        <w:rPr>
          <w:rFonts w:hint="eastAsia" w:ascii="仿宋_GB2312"/>
          <w:szCs w:val="32"/>
        </w:rPr>
        <w:t>.</w:t>
      </w:r>
      <w:r>
        <w:rPr>
          <w:rFonts w:ascii="仿宋_GB2312"/>
          <w:szCs w:val="32"/>
        </w:rPr>
        <w:t>在水路运输行政许可中列入“绿色通道”办理；</w:t>
      </w:r>
    </w:p>
    <w:p>
      <w:pPr>
        <w:overflowPunct w:val="0"/>
        <w:snapToGrid w:val="0"/>
        <w:spacing w:line="580" w:lineRule="exact"/>
        <w:ind w:firstLine="640" w:firstLineChars="200"/>
        <w:rPr>
          <w:rFonts w:ascii="仿宋_GB2312"/>
          <w:szCs w:val="32"/>
        </w:rPr>
      </w:pPr>
      <w:r>
        <w:rPr>
          <w:rFonts w:ascii="仿宋_GB2312"/>
          <w:szCs w:val="32"/>
        </w:rPr>
        <w:t>2</w:t>
      </w:r>
      <w:r>
        <w:rPr>
          <w:rFonts w:hint="eastAsia" w:ascii="仿宋_GB2312"/>
          <w:szCs w:val="32"/>
        </w:rPr>
        <w:t>.</w:t>
      </w:r>
      <w:r>
        <w:rPr>
          <w:rFonts w:ascii="仿宋_GB2312"/>
          <w:szCs w:val="32"/>
        </w:rPr>
        <w:t>每两年最多检查一次；</w:t>
      </w:r>
    </w:p>
    <w:p>
      <w:pPr>
        <w:overflowPunct w:val="0"/>
        <w:snapToGrid w:val="0"/>
        <w:spacing w:line="580" w:lineRule="exact"/>
        <w:ind w:firstLine="640" w:firstLineChars="200"/>
        <w:rPr>
          <w:rFonts w:ascii="仿宋_GB2312"/>
          <w:szCs w:val="32"/>
        </w:rPr>
      </w:pPr>
      <w:r>
        <w:rPr>
          <w:rFonts w:ascii="仿宋_GB2312"/>
          <w:szCs w:val="32"/>
        </w:rPr>
        <w:t>3</w:t>
      </w:r>
      <w:r>
        <w:rPr>
          <w:rFonts w:hint="eastAsia" w:ascii="仿宋_GB2312"/>
          <w:szCs w:val="32"/>
        </w:rPr>
        <w:t>.</w:t>
      </w:r>
      <w:r>
        <w:rPr>
          <w:rFonts w:ascii="仿宋_GB2312"/>
          <w:szCs w:val="32"/>
        </w:rPr>
        <w:t>在财政资金申请、部省示范项目和示范企业申请评比等方面予以优先考虑；</w:t>
      </w:r>
    </w:p>
    <w:p>
      <w:pPr>
        <w:overflowPunct w:val="0"/>
        <w:snapToGrid w:val="0"/>
        <w:spacing w:line="580" w:lineRule="exact"/>
        <w:ind w:firstLine="640" w:firstLineChars="200"/>
        <w:rPr>
          <w:rFonts w:ascii="仿宋_GB2312"/>
          <w:szCs w:val="32"/>
        </w:rPr>
      </w:pPr>
      <w:r>
        <w:rPr>
          <w:rFonts w:ascii="仿宋_GB2312"/>
          <w:szCs w:val="32"/>
        </w:rPr>
        <w:t>4</w:t>
      </w:r>
      <w:r>
        <w:rPr>
          <w:rFonts w:hint="eastAsia" w:ascii="仿宋_GB2312"/>
          <w:szCs w:val="32"/>
        </w:rPr>
        <w:t>.</w:t>
      </w:r>
      <w:r>
        <w:rPr>
          <w:rFonts w:ascii="仿宋_GB2312"/>
          <w:szCs w:val="32"/>
        </w:rPr>
        <w:t>在交通运输部门的各类优惠或奖励政策、组织开展的荣誉表彰及评选中，同等条件下优先考虑；</w:t>
      </w:r>
    </w:p>
    <w:p>
      <w:pPr>
        <w:overflowPunct w:val="0"/>
        <w:snapToGrid w:val="0"/>
        <w:spacing w:line="580" w:lineRule="exact"/>
        <w:ind w:firstLine="640" w:firstLineChars="200"/>
        <w:rPr>
          <w:rFonts w:ascii="仿宋_GB2312"/>
          <w:szCs w:val="32"/>
        </w:rPr>
      </w:pPr>
      <w:r>
        <w:rPr>
          <w:rFonts w:ascii="仿宋_GB2312"/>
          <w:szCs w:val="32"/>
        </w:rPr>
        <w:t>5</w:t>
      </w:r>
      <w:r>
        <w:rPr>
          <w:rFonts w:hint="eastAsia" w:ascii="仿宋_GB2312"/>
          <w:szCs w:val="32"/>
        </w:rPr>
        <w:t>.择优选树</w:t>
      </w:r>
      <w:r>
        <w:rPr>
          <w:rFonts w:ascii="仿宋_GB2312"/>
          <w:szCs w:val="32"/>
        </w:rPr>
        <w:t>为</w:t>
      </w:r>
      <w:r>
        <w:rPr>
          <w:rFonts w:hint="eastAsia" w:ascii="仿宋_GB2312"/>
          <w:szCs w:val="32"/>
        </w:rPr>
        <w:t>行业年度</w:t>
      </w:r>
      <w:r>
        <w:rPr>
          <w:rFonts w:ascii="仿宋_GB2312"/>
          <w:szCs w:val="32"/>
        </w:rPr>
        <w:t>诚信典型并向社会推介等；</w:t>
      </w:r>
    </w:p>
    <w:p>
      <w:pPr>
        <w:overflowPunct w:val="0"/>
        <w:snapToGrid w:val="0"/>
        <w:spacing w:line="580" w:lineRule="exact"/>
        <w:ind w:firstLine="640" w:firstLineChars="200"/>
        <w:rPr>
          <w:rFonts w:ascii="仿宋_GB2312"/>
          <w:szCs w:val="32"/>
        </w:rPr>
      </w:pPr>
      <w:r>
        <w:rPr>
          <w:rFonts w:ascii="仿宋_GB2312"/>
          <w:szCs w:val="32"/>
        </w:rPr>
        <w:t>6</w:t>
      </w:r>
      <w:r>
        <w:rPr>
          <w:rFonts w:hint="eastAsia" w:ascii="仿宋_GB2312"/>
          <w:szCs w:val="32"/>
        </w:rPr>
        <w:t>.</w:t>
      </w:r>
      <w:r>
        <w:rPr>
          <w:rFonts w:ascii="仿宋_GB2312"/>
          <w:szCs w:val="32"/>
        </w:rPr>
        <w:t>其他依照有关规定可以采取的激励性措施。</w:t>
      </w:r>
    </w:p>
    <w:p>
      <w:pPr>
        <w:shd w:val="clear" w:color="auto" w:fill="FFFFFF"/>
        <w:overflowPunct w:val="0"/>
        <w:spacing w:line="580" w:lineRule="exact"/>
        <w:ind w:firstLine="640" w:firstLineChars="200"/>
        <w:rPr>
          <w:rFonts w:ascii="楷体_GB2312" w:eastAsia="楷体_GB2312"/>
          <w:szCs w:val="32"/>
        </w:rPr>
      </w:pPr>
      <w:r>
        <w:rPr>
          <w:rFonts w:ascii="楷体_GB2312" w:eastAsia="楷体_GB2312"/>
          <w:szCs w:val="32"/>
        </w:rPr>
        <w:t>（三）对信用等级为A级的水路运输企业，各级交通运输部门可对其实施以下守信激励措施</w:t>
      </w:r>
    </w:p>
    <w:p>
      <w:pPr>
        <w:overflowPunct w:val="0"/>
        <w:snapToGrid w:val="0"/>
        <w:spacing w:line="580" w:lineRule="exact"/>
        <w:ind w:firstLine="640" w:firstLineChars="200"/>
        <w:rPr>
          <w:rFonts w:hint="eastAsia" w:ascii="仿宋_GB2312"/>
          <w:szCs w:val="32"/>
        </w:rPr>
      </w:pPr>
      <w:r>
        <w:rPr>
          <w:rFonts w:hint="eastAsia" w:ascii="仿宋_GB2312"/>
          <w:szCs w:val="32"/>
        </w:rPr>
        <w:t>1.每一年半最多检查一次；</w:t>
      </w:r>
    </w:p>
    <w:p>
      <w:pPr>
        <w:overflowPunct w:val="0"/>
        <w:snapToGrid w:val="0"/>
        <w:spacing w:line="580" w:lineRule="exact"/>
        <w:ind w:firstLine="640" w:firstLineChars="200"/>
        <w:rPr>
          <w:rFonts w:hint="eastAsia" w:ascii="仿宋_GB2312"/>
          <w:szCs w:val="32"/>
        </w:rPr>
      </w:pPr>
      <w:r>
        <w:rPr>
          <w:rFonts w:hint="eastAsia" w:ascii="仿宋_GB2312"/>
          <w:szCs w:val="32"/>
        </w:rPr>
        <w:t>2.在水路运输行政许可中列入“绿色通道”办理。</w:t>
      </w:r>
    </w:p>
    <w:p>
      <w:pPr>
        <w:overflowPunct w:val="0"/>
        <w:spacing w:line="580" w:lineRule="exact"/>
        <w:ind w:firstLine="480" w:firstLineChars="150"/>
        <w:rPr>
          <w:rFonts w:hint="eastAsia" w:ascii="楷体_GB2312" w:eastAsia="楷体_GB2312"/>
          <w:szCs w:val="32"/>
        </w:rPr>
      </w:pPr>
      <w:r>
        <w:rPr>
          <w:rFonts w:hint="eastAsia" w:ascii="楷体_GB2312" w:eastAsia="楷体_GB2312"/>
          <w:szCs w:val="32"/>
        </w:rPr>
        <w:t>（四）信用等级为B级的水路运输企业，各级交通运输部门可采取每年至少检查一次的措施</w:t>
      </w:r>
    </w:p>
    <w:p>
      <w:pPr>
        <w:shd w:val="clear" w:color="auto" w:fill="FFFFFF"/>
        <w:overflowPunct w:val="0"/>
        <w:spacing w:line="580" w:lineRule="exact"/>
        <w:ind w:firstLine="640" w:firstLineChars="200"/>
        <w:rPr>
          <w:rFonts w:hint="eastAsia" w:ascii="楷体_GB2312" w:eastAsia="楷体_GB2312"/>
          <w:szCs w:val="32"/>
        </w:rPr>
      </w:pPr>
      <w:r>
        <w:rPr>
          <w:rFonts w:hint="eastAsia" w:ascii="楷体_GB2312" w:eastAsia="楷体_GB2312"/>
          <w:szCs w:val="32"/>
        </w:rPr>
        <w:t>（五）信用等级为C级的水路运输企业，列入行业重点关注对象名单，各级交通运输部门应对其实施以下措施</w:t>
      </w:r>
    </w:p>
    <w:p>
      <w:pPr>
        <w:overflowPunct w:val="0"/>
        <w:snapToGrid w:val="0"/>
        <w:spacing w:line="580" w:lineRule="exact"/>
        <w:ind w:firstLine="640" w:firstLineChars="200"/>
        <w:rPr>
          <w:rFonts w:hint="eastAsia" w:ascii="仿宋_GB2312"/>
          <w:szCs w:val="32"/>
        </w:rPr>
      </w:pPr>
      <w:r>
        <w:rPr>
          <w:rFonts w:hint="eastAsia" w:ascii="仿宋_GB2312"/>
          <w:szCs w:val="32"/>
        </w:rPr>
        <w:t>1.在日常监管中加强现场核查，每半年至少现场检查一次；</w:t>
      </w:r>
    </w:p>
    <w:p>
      <w:pPr>
        <w:overflowPunct w:val="0"/>
        <w:snapToGrid w:val="0"/>
        <w:spacing w:line="580" w:lineRule="exact"/>
        <w:ind w:firstLine="640" w:firstLineChars="200"/>
        <w:rPr>
          <w:rFonts w:hint="eastAsia" w:ascii="仿宋_GB2312"/>
          <w:szCs w:val="32"/>
        </w:rPr>
      </w:pPr>
      <w:r>
        <w:rPr>
          <w:rFonts w:hint="eastAsia" w:ascii="仿宋_GB2312"/>
          <w:szCs w:val="32"/>
        </w:rPr>
        <w:t>2.依法依规限制享受交通运输部门各类优惠政策和参与交通运输部门组织的表彰奖励活动的资格；</w:t>
      </w:r>
    </w:p>
    <w:p>
      <w:pPr>
        <w:overflowPunct w:val="0"/>
        <w:snapToGrid w:val="0"/>
        <w:spacing w:line="580" w:lineRule="exact"/>
        <w:ind w:firstLine="640" w:firstLineChars="200"/>
        <w:rPr>
          <w:rFonts w:hint="eastAsia" w:ascii="仿宋_GB2312"/>
          <w:szCs w:val="32"/>
        </w:rPr>
      </w:pPr>
      <w:r>
        <w:rPr>
          <w:rFonts w:hint="eastAsia" w:ascii="仿宋_GB2312"/>
          <w:szCs w:val="32"/>
        </w:rPr>
        <w:t>3.在财政资金补助、部省示范项目和示范企业申请评比等方面予以限制。</w:t>
      </w:r>
    </w:p>
    <w:p>
      <w:pPr>
        <w:shd w:val="clear" w:color="auto" w:fill="FFFFFF"/>
        <w:overflowPunct w:val="0"/>
        <w:spacing w:line="580" w:lineRule="exact"/>
        <w:ind w:firstLine="640" w:firstLineChars="200"/>
        <w:rPr>
          <w:rFonts w:hint="eastAsia" w:ascii="楷体_GB2312" w:eastAsia="楷体_GB2312"/>
          <w:szCs w:val="32"/>
        </w:rPr>
      </w:pPr>
      <w:r>
        <w:rPr>
          <w:rFonts w:hint="eastAsia" w:ascii="楷体_GB2312" w:eastAsia="楷体_GB2312"/>
          <w:szCs w:val="32"/>
        </w:rPr>
        <w:t>（六）信用等级为D级的水路运输企业，列入行业重点关注对象名单，各级交通运输部门应对其实施以下措施</w:t>
      </w:r>
    </w:p>
    <w:p>
      <w:pPr>
        <w:overflowPunct w:val="0"/>
        <w:snapToGrid w:val="0"/>
        <w:spacing w:line="580" w:lineRule="exact"/>
        <w:ind w:firstLine="640" w:firstLineChars="200"/>
        <w:rPr>
          <w:rFonts w:hint="eastAsia" w:ascii="仿宋_GB2312"/>
          <w:szCs w:val="32"/>
        </w:rPr>
      </w:pPr>
      <w:r>
        <w:rPr>
          <w:rFonts w:hint="eastAsia" w:ascii="仿宋_GB2312"/>
          <w:szCs w:val="32"/>
        </w:rPr>
        <w:t>1.在日常监管中加强现场核查，每半年至少现场检查一次；</w:t>
      </w:r>
    </w:p>
    <w:p>
      <w:pPr>
        <w:overflowPunct w:val="0"/>
        <w:snapToGrid w:val="0"/>
        <w:spacing w:line="580" w:lineRule="exact"/>
        <w:ind w:firstLine="640" w:firstLineChars="200"/>
        <w:rPr>
          <w:rFonts w:hint="eastAsia" w:ascii="仿宋_GB2312"/>
          <w:szCs w:val="32"/>
        </w:rPr>
      </w:pPr>
      <w:r>
        <w:rPr>
          <w:rFonts w:hint="eastAsia" w:ascii="仿宋_GB2312"/>
          <w:szCs w:val="32"/>
        </w:rPr>
        <w:t>2.依法依规限制享受交通运输部门各类优惠政策，不得参评各级交通运输部门组织的表彰奖励活动；</w:t>
      </w:r>
    </w:p>
    <w:p>
      <w:pPr>
        <w:overflowPunct w:val="0"/>
        <w:snapToGrid w:val="0"/>
        <w:spacing w:line="580" w:lineRule="exact"/>
        <w:ind w:firstLine="640" w:firstLineChars="200"/>
        <w:rPr>
          <w:rFonts w:hint="eastAsia" w:ascii="仿宋_GB2312"/>
          <w:szCs w:val="32"/>
        </w:rPr>
      </w:pPr>
      <w:r>
        <w:rPr>
          <w:rFonts w:hint="eastAsia" w:ascii="仿宋_GB2312"/>
          <w:szCs w:val="32"/>
        </w:rPr>
        <w:t>3.在财政资金补助、部省示范项目和示范企业申报评比等方面予以限制；</w:t>
      </w:r>
    </w:p>
    <w:p>
      <w:pPr>
        <w:overflowPunct w:val="0"/>
        <w:snapToGrid w:val="0"/>
        <w:spacing w:line="580" w:lineRule="exact"/>
        <w:ind w:firstLine="640" w:firstLineChars="200"/>
        <w:rPr>
          <w:rFonts w:hint="eastAsia" w:ascii="仿宋_GB2312"/>
          <w:szCs w:val="32"/>
        </w:rPr>
      </w:pPr>
      <w:r>
        <w:rPr>
          <w:rFonts w:hint="eastAsia" w:ascii="仿宋_GB2312"/>
          <w:szCs w:val="32"/>
        </w:rPr>
        <w:t>4.</w:t>
      </w:r>
      <w:r>
        <w:rPr>
          <w:rFonts w:hint="eastAsia" w:ascii="仿宋_GB2312"/>
          <w:szCs w:val="32"/>
          <w:lang w:eastAsia="zh-Hans"/>
        </w:rPr>
        <w:t>在行政管理中，取消已享受的行政便利措施；</w:t>
      </w:r>
    </w:p>
    <w:p>
      <w:pPr>
        <w:overflowPunct w:val="0"/>
        <w:snapToGrid w:val="0"/>
        <w:spacing w:line="580" w:lineRule="exact"/>
        <w:ind w:firstLine="640" w:firstLineChars="200"/>
        <w:rPr>
          <w:rFonts w:hint="eastAsia" w:ascii="仿宋_GB2312"/>
          <w:szCs w:val="32"/>
        </w:rPr>
      </w:pPr>
      <w:r>
        <w:rPr>
          <w:rFonts w:hint="eastAsia" w:ascii="仿宋_GB2312"/>
          <w:szCs w:val="32"/>
        </w:rPr>
        <w:t>5.经营危险品或旅客运输的，依法依规暂停新增运力、扩大经营范围等行政许可业务；</w:t>
      </w:r>
    </w:p>
    <w:p>
      <w:pPr>
        <w:overflowPunct w:val="0"/>
        <w:snapToGrid w:val="0"/>
        <w:spacing w:line="580" w:lineRule="exact"/>
        <w:ind w:firstLine="640" w:firstLineChars="200"/>
        <w:rPr>
          <w:rFonts w:hint="eastAsia" w:ascii="仿宋_GB2312"/>
          <w:szCs w:val="32"/>
        </w:rPr>
      </w:pPr>
      <w:r>
        <w:rPr>
          <w:rFonts w:hint="eastAsia" w:ascii="仿宋_GB2312"/>
          <w:szCs w:val="32"/>
        </w:rPr>
        <w:t>6.其他依据有关规定</w:t>
      </w:r>
      <w:r>
        <w:rPr>
          <w:rFonts w:hint="eastAsia" w:ascii="仿宋_GB2312"/>
          <w:szCs w:val="32"/>
          <w:lang w:eastAsia="zh-Hans"/>
        </w:rPr>
        <w:t>可以采取的监管措施。</w:t>
      </w:r>
    </w:p>
    <w:p>
      <w:pPr>
        <w:overflowPunct w:val="0"/>
        <w:spacing w:line="580" w:lineRule="exact"/>
        <w:ind w:firstLine="640" w:firstLineChars="200"/>
        <w:rPr>
          <w:rFonts w:hint="eastAsia" w:ascii="仿宋_GB2312"/>
          <w:szCs w:val="32"/>
        </w:rPr>
      </w:pPr>
    </w:p>
    <w:p>
      <w:pPr>
        <w:overflowPunct w:val="0"/>
        <w:snapToGrid w:val="0"/>
        <w:spacing w:line="580" w:lineRule="exact"/>
        <w:ind w:firstLine="640" w:firstLineChars="200"/>
        <w:rPr>
          <w:rFonts w:hint="eastAsia" w:ascii="仿宋_GB2312"/>
          <w:szCs w:val="32"/>
        </w:rPr>
      </w:pPr>
      <w:r>
        <w:rPr>
          <w:rFonts w:hint="eastAsia" w:ascii="仿宋_GB2312"/>
          <w:szCs w:val="32"/>
        </w:rPr>
        <w:t>附表：浙江省水路运输企业信用评价标准</w:t>
      </w:r>
    </w:p>
    <w:p>
      <w:pPr>
        <w:overflowPunct w:val="0"/>
        <w:spacing w:line="580" w:lineRule="exact"/>
        <w:rPr>
          <w:rFonts w:hAnsi="黑体" w:eastAsia="黑体"/>
          <w:szCs w:val="32"/>
        </w:rPr>
      </w:pPr>
      <w:r>
        <w:rPr>
          <w:rFonts w:hAnsi="黑体" w:eastAsia="黑体"/>
          <w:szCs w:val="32"/>
        </w:rPr>
        <w:br w:type="page"/>
      </w:r>
      <w:r>
        <w:rPr>
          <w:rFonts w:hAnsi="黑体" w:eastAsia="黑体"/>
          <w:szCs w:val="32"/>
        </w:rPr>
        <w:t>附表</w:t>
      </w:r>
    </w:p>
    <w:p>
      <w:pPr>
        <w:overflowPunct w:val="0"/>
        <w:spacing w:line="580" w:lineRule="exact"/>
        <w:jc w:val="center"/>
        <w:rPr>
          <w:rFonts w:hint="eastAsia" w:ascii="方正小标宋简体" w:eastAsia="方正小标宋简体"/>
          <w:sz w:val="44"/>
          <w:szCs w:val="44"/>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浙江省水路运输企业信用评价标准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49"/>
        <w:gridCol w:w="648"/>
        <w:gridCol w:w="845"/>
        <w:gridCol w:w="1106"/>
        <w:gridCol w:w="879"/>
        <w:gridCol w:w="3404"/>
        <w:gridCol w:w="1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64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4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84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106"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87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340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1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w:t>
            </w:r>
          </w:p>
        </w:tc>
        <w:tc>
          <w:tcPr>
            <w:tcW w:w="648"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安全信用</w:t>
            </w:r>
          </w:p>
        </w:tc>
        <w:tc>
          <w:tcPr>
            <w:tcW w:w="845"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1106"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安全管理缺陷</w:t>
            </w:r>
          </w:p>
        </w:tc>
        <w:tc>
          <w:tcPr>
            <w:tcW w:w="87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340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经检查，发现企业存在安全管理存在缺陷的，每项扣20分，扣完为止；企业安全生产台账资料与企业现状不符，经现场认定为虚假台账资料，扣20分，扣完为止；未按交通运输部门要求限期整改监督检查中发现的问题和隐患的，每次扣50分，扣完为止。</w:t>
            </w:r>
          </w:p>
        </w:tc>
        <w:tc>
          <w:tcPr>
            <w:tcW w:w="131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bCs/>
                <w:sz w:val="24"/>
                <w:szCs w:val="24"/>
              </w:rPr>
              <w:t>数据对接或</w:t>
            </w: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w:t>
            </w:r>
          </w:p>
        </w:tc>
        <w:tc>
          <w:tcPr>
            <w:tcW w:w="648"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845"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106"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被通报、约谈、督办</w:t>
            </w:r>
          </w:p>
        </w:tc>
        <w:tc>
          <w:tcPr>
            <w:tcW w:w="87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340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由于安全生产问题被设区市以上水路运输管理机构约谈的，每次扣50分，扣完为止；受到设区市以上水路运输管理机构或应急管理部门安全生产通报，每次扣50分，扣完为止；被县级及以上管理部门安全生产挂牌督办的，扣100分。</w:t>
            </w:r>
          </w:p>
        </w:tc>
        <w:tc>
          <w:tcPr>
            <w:tcW w:w="131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bCs/>
                <w:sz w:val="24"/>
                <w:szCs w:val="24"/>
              </w:rPr>
              <w:t>数据对接或</w:t>
            </w: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3</w:t>
            </w:r>
          </w:p>
        </w:tc>
        <w:tc>
          <w:tcPr>
            <w:tcW w:w="648"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经营信用</w:t>
            </w:r>
          </w:p>
        </w:tc>
        <w:tc>
          <w:tcPr>
            <w:tcW w:w="845" w:type="dxa"/>
            <w:vMerge w:val="restart"/>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200</w:t>
            </w:r>
          </w:p>
        </w:tc>
        <w:tc>
          <w:tcPr>
            <w:tcW w:w="1106" w:type="dxa"/>
            <w:noWrap w:val="0"/>
            <w:tcMar>
              <w:top w:w="85" w:type="dxa"/>
              <w:bottom w:w="85" w:type="dxa"/>
            </w:tcMar>
            <w:vAlign w:val="center"/>
          </w:tcPr>
          <w:p>
            <w:pPr>
              <w:overflowPunct w:val="0"/>
              <w:contextualSpacing/>
              <w:textAlignment w:val="center"/>
              <w:rPr>
                <w:rFonts w:hint="eastAsia" w:ascii="仿宋_GB2312"/>
                <w:sz w:val="24"/>
                <w:szCs w:val="24"/>
              </w:rPr>
            </w:pPr>
            <w:r>
              <w:rPr>
                <w:rFonts w:hint="eastAsia" w:ascii="仿宋_GB2312"/>
                <w:sz w:val="24"/>
                <w:szCs w:val="24"/>
              </w:rPr>
              <w:t>虚假申报</w:t>
            </w:r>
          </w:p>
        </w:tc>
        <w:tc>
          <w:tcPr>
            <w:tcW w:w="87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340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从事危险化学品水路运输企业未按货物实名制要求申报或虚假申报的，经过相关部门的查实，扣50分。</w:t>
            </w:r>
          </w:p>
        </w:tc>
        <w:tc>
          <w:tcPr>
            <w:tcW w:w="131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bCs/>
                <w:sz w:val="24"/>
                <w:szCs w:val="24"/>
              </w:rPr>
              <w:t>数据对接或</w:t>
            </w: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4</w:t>
            </w:r>
          </w:p>
        </w:tc>
        <w:tc>
          <w:tcPr>
            <w:tcW w:w="648"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845"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106" w:type="dxa"/>
            <w:noWrap w:val="0"/>
            <w:tcMar>
              <w:top w:w="85" w:type="dxa"/>
              <w:bottom w:w="85" w:type="dxa"/>
            </w:tcMar>
            <w:vAlign w:val="center"/>
          </w:tcPr>
          <w:p>
            <w:pPr>
              <w:overflowPunct w:val="0"/>
              <w:contextualSpacing/>
              <w:textAlignment w:val="center"/>
              <w:rPr>
                <w:rFonts w:hint="eastAsia" w:ascii="仿宋_GB2312"/>
                <w:sz w:val="24"/>
                <w:szCs w:val="24"/>
              </w:rPr>
            </w:pPr>
            <w:r>
              <w:rPr>
                <w:rFonts w:hint="eastAsia" w:ascii="仿宋_GB2312"/>
                <w:sz w:val="24"/>
                <w:szCs w:val="24"/>
              </w:rPr>
              <w:t>虚假登记</w:t>
            </w:r>
          </w:p>
        </w:tc>
        <w:tc>
          <w:tcPr>
            <w:tcW w:w="87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50</w:t>
            </w:r>
          </w:p>
        </w:tc>
        <w:tc>
          <w:tcPr>
            <w:tcW w:w="340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海事、司法部门认定企业经营船舶与实际经营人不符的，扣50分。</w:t>
            </w:r>
          </w:p>
        </w:tc>
        <w:tc>
          <w:tcPr>
            <w:tcW w:w="131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bCs/>
                <w:sz w:val="24"/>
                <w:szCs w:val="24"/>
              </w:rPr>
              <w:t>数据对接或</w:t>
            </w: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5</w:t>
            </w:r>
          </w:p>
        </w:tc>
        <w:tc>
          <w:tcPr>
            <w:tcW w:w="648"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845" w:type="dxa"/>
            <w:vMerge w:val="continue"/>
            <w:noWrap w:val="0"/>
            <w:tcMar>
              <w:top w:w="85" w:type="dxa"/>
              <w:bottom w:w="85" w:type="dxa"/>
            </w:tcMar>
            <w:vAlign w:val="center"/>
          </w:tcPr>
          <w:p>
            <w:pPr>
              <w:overflowPunct w:val="0"/>
              <w:contextualSpacing/>
              <w:jc w:val="center"/>
              <w:rPr>
                <w:rFonts w:hint="eastAsia" w:ascii="仿宋_GB2312"/>
                <w:sz w:val="24"/>
                <w:szCs w:val="24"/>
              </w:rPr>
            </w:pPr>
          </w:p>
        </w:tc>
        <w:tc>
          <w:tcPr>
            <w:tcW w:w="1106" w:type="dxa"/>
            <w:noWrap w:val="0"/>
            <w:tcMar>
              <w:top w:w="85" w:type="dxa"/>
              <w:bottom w:w="85" w:type="dxa"/>
            </w:tcMar>
            <w:vAlign w:val="center"/>
          </w:tcPr>
          <w:p>
            <w:pPr>
              <w:overflowPunct w:val="0"/>
              <w:contextualSpacing/>
              <w:textAlignment w:val="center"/>
              <w:rPr>
                <w:rFonts w:hint="eastAsia" w:ascii="仿宋_GB2312"/>
                <w:sz w:val="24"/>
                <w:szCs w:val="24"/>
              </w:rPr>
            </w:pPr>
            <w:r>
              <w:rPr>
                <w:rFonts w:hint="eastAsia" w:ascii="仿宋_GB2312"/>
                <w:sz w:val="24"/>
                <w:szCs w:val="24"/>
              </w:rPr>
              <w:t>告知承诺制办理相关许可违反承诺</w:t>
            </w:r>
          </w:p>
        </w:tc>
        <w:tc>
          <w:tcPr>
            <w:tcW w:w="879"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3404" w:type="dxa"/>
            <w:noWrap w:val="0"/>
            <w:tcMar>
              <w:top w:w="85" w:type="dxa"/>
              <w:bottom w:w="85" w:type="dxa"/>
            </w:tcMar>
            <w:vAlign w:val="center"/>
          </w:tcPr>
          <w:p>
            <w:pPr>
              <w:overflowPunct w:val="0"/>
              <w:contextualSpacing/>
              <w:rPr>
                <w:rFonts w:hint="eastAsia" w:ascii="仿宋_GB2312"/>
                <w:sz w:val="24"/>
                <w:szCs w:val="24"/>
              </w:rPr>
            </w:pPr>
            <w:r>
              <w:rPr>
                <w:rFonts w:hint="eastAsia" w:ascii="仿宋_GB2312"/>
                <w:sz w:val="24"/>
                <w:szCs w:val="24"/>
              </w:rPr>
              <w:t>以告知承诺制办理水路运输经营许可业务，在规定期限内未提交材料、提交材料不符合要求或者现场核查发现承诺不实的，扣100分。</w:t>
            </w:r>
          </w:p>
        </w:tc>
        <w:tc>
          <w:tcPr>
            <w:tcW w:w="1314" w:type="dxa"/>
            <w:noWrap w:val="0"/>
            <w:tcMar>
              <w:top w:w="85" w:type="dxa"/>
              <w:bottom w:w="85" w:type="dxa"/>
            </w:tcMar>
            <w:vAlign w:val="center"/>
          </w:tcPr>
          <w:p>
            <w:pPr>
              <w:overflowPunct w:val="0"/>
              <w:contextualSpacing/>
              <w:jc w:val="center"/>
              <w:rPr>
                <w:rFonts w:hint="eastAsia" w:ascii="仿宋_GB2312"/>
                <w:sz w:val="24"/>
                <w:szCs w:val="24"/>
              </w:rPr>
            </w:pPr>
            <w:r>
              <w:rPr>
                <w:rFonts w:hint="eastAsia" w:ascii="仿宋_GB2312"/>
                <w:bCs/>
                <w:sz w:val="24"/>
                <w:szCs w:val="24"/>
              </w:rPr>
              <w:t>数据对接或</w:t>
            </w: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6</w:t>
            </w:r>
          </w:p>
        </w:tc>
        <w:tc>
          <w:tcPr>
            <w:tcW w:w="648"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行政处罚</w:t>
            </w:r>
          </w:p>
        </w:tc>
        <w:tc>
          <w:tcPr>
            <w:tcW w:w="845"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1106"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违反法律法规</w:t>
            </w:r>
          </w:p>
        </w:tc>
        <w:tc>
          <w:tcPr>
            <w:tcW w:w="87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400</w:t>
            </w:r>
          </w:p>
        </w:tc>
        <w:tc>
          <w:tcPr>
            <w:tcW w:w="3404"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除本细则上述行为外，国内水路运输企业违反《水路运输管理条例》或《水路运输管理规定》的，按行政执法文书逐项扣50分，扣完为止。</w:t>
            </w:r>
          </w:p>
        </w:tc>
        <w:tc>
          <w:tcPr>
            <w:tcW w:w="131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7</w:t>
            </w:r>
          </w:p>
        </w:tc>
        <w:tc>
          <w:tcPr>
            <w:tcW w:w="648"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社会责任</w:t>
            </w:r>
          </w:p>
        </w:tc>
        <w:tc>
          <w:tcPr>
            <w:tcW w:w="845"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106"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公益行为</w:t>
            </w:r>
          </w:p>
        </w:tc>
        <w:tc>
          <w:tcPr>
            <w:tcW w:w="87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3404"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企业完成抢险运输、应急运输、军事运输的，经认定后，每次加20分，累计不超过100分。</w:t>
            </w:r>
          </w:p>
        </w:tc>
        <w:tc>
          <w:tcPr>
            <w:tcW w:w="131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bCs/>
                <w:sz w:val="24"/>
                <w:szCs w:val="24"/>
              </w:rPr>
              <w:t>数据对接或</w:t>
            </w:r>
            <w:r>
              <w:rPr>
                <w:rFonts w:hint="eastAsia" w:ascii="仿宋_GB2312"/>
                <w:sz w:val="24"/>
                <w:szCs w:val="24"/>
              </w:rPr>
              <w:t>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4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8</w:t>
            </w:r>
          </w:p>
        </w:tc>
        <w:tc>
          <w:tcPr>
            <w:tcW w:w="648"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公共信用</w:t>
            </w:r>
          </w:p>
        </w:tc>
        <w:tc>
          <w:tcPr>
            <w:tcW w:w="845"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1106"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企业公共信用评分</w:t>
            </w:r>
          </w:p>
        </w:tc>
        <w:tc>
          <w:tcPr>
            <w:tcW w:w="879"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100</w:t>
            </w:r>
          </w:p>
        </w:tc>
        <w:tc>
          <w:tcPr>
            <w:tcW w:w="3404" w:type="dxa"/>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根据企业公共信用评价（531X）得分同比计算。</w:t>
            </w:r>
          </w:p>
        </w:tc>
        <w:tc>
          <w:tcPr>
            <w:tcW w:w="131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31" w:type="dxa"/>
            <w:gridSpan w:val="6"/>
            <w:noWrap w:val="0"/>
            <w:tcMar>
              <w:top w:w="57" w:type="dxa"/>
              <w:bottom w:w="57" w:type="dxa"/>
            </w:tcMar>
            <w:vAlign w:val="center"/>
          </w:tcPr>
          <w:p>
            <w:pPr>
              <w:overflowPunct w:val="0"/>
              <w:contextualSpacing/>
              <w:rPr>
                <w:rFonts w:hint="eastAsia" w:ascii="仿宋_GB2312"/>
                <w:sz w:val="24"/>
                <w:szCs w:val="24"/>
              </w:rPr>
            </w:pPr>
            <w:r>
              <w:rPr>
                <w:rFonts w:hint="eastAsia" w:ascii="仿宋_GB2312"/>
                <w:sz w:val="24"/>
                <w:szCs w:val="24"/>
              </w:rPr>
              <w:t>凡发生《浙江省水路运输企业信用管理实施细则》</w:t>
            </w:r>
            <w:r>
              <w:rPr>
                <w:rFonts w:hint="eastAsia" w:ascii="仿宋_GB2312"/>
                <w:bCs/>
                <w:sz w:val="24"/>
                <w:szCs w:val="24"/>
                <w:lang w:val="zh-CN" w:bidi="ar"/>
              </w:rPr>
              <w:t>第二部分（二）中企业严重</w:t>
            </w:r>
            <w:r>
              <w:rPr>
                <w:rFonts w:hint="eastAsia" w:ascii="仿宋_GB2312"/>
                <w:bCs/>
                <w:sz w:val="24"/>
                <w:szCs w:val="24"/>
                <w:lang w:bidi="ar"/>
              </w:rPr>
              <w:t>不良信息</w:t>
            </w:r>
            <w:r>
              <w:rPr>
                <w:rFonts w:hint="eastAsia" w:ascii="仿宋_GB2312"/>
                <w:sz w:val="24"/>
                <w:szCs w:val="24"/>
              </w:rPr>
              <w:t>行为之一的，本年度信用分直接扣500分。</w:t>
            </w:r>
          </w:p>
        </w:tc>
        <w:tc>
          <w:tcPr>
            <w:tcW w:w="1314" w:type="dxa"/>
            <w:noWrap w:val="0"/>
            <w:tcMar>
              <w:top w:w="57" w:type="dxa"/>
              <w:bottom w:w="57" w:type="dxa"/>
            </w:tcMar>
            <w:vAlign w:val="center"/>
          </w:tcPr>
          <w:p>
            <w:pPr>
              <w:overflowPunct w:val="0"/>
              <w:contextualSpacing/>
              <w:jc w:val="center"/>
              <w:rPr>
                <w:rFonts w:hint="eastAsia" w:ascii="仿宋_GB2312"/>
                <w:sz w:val="24"/>
                <w:szCs w:val="24"/>
              </w:rPr>
            </w:pPr>
            <w:r>
              <w:rPr>
                <w:rFonts w:hint="eastAsia" w:ascii="仿宋_GB2312"/>
                <w:sz w:val="24"/>
                <w:szCs w:val="24"/>
              </w:rPr>
              <w:t>数据对接或手工录入</w:t>
            </w:r>
          </w:p>
        </w:tc>
      </w:tr>
    </w:tbl>
    <w:p>
      <w:pPr>
        <w:overflowPunct w:val="0"/>
        <w:spacing w:line="590" w:lineRule="exact"/>
        <w:ind w:firstLine="640" w:firstLineChars="200"/>
        <w:rPr>
          <w:rFonts w:hint="eastAsia" w:ascii="仿宋_GB2312"/>
          <w:szCs w:val="32"/>
        </w:rPr>
      </w:pPr>
    </w:p>
    <w:p>
      <w:pPr>
        <w:overflowPunct w:val="0"/>
        <w:spacing w:line="590" w:lineRule="exact"/>
        <w:ind w:firstLine="640" w:firstLineChars="200"/>
        <w:rPr>
          <w:szCs w:val="32"/>
        </w:rPr>
      </w:pPr>
    </w:p>
    <w:p>
      <w:pPr>
        <w:overflowPunct w:val="0"/>
        <w:spacing w:line="580" w:lineRule="exact"/>
        <w:rPr>
          <w:rFonts w:ascii="黑体" w:hAnsi="黑体" w:eastAsia="黑体"/>
          <w:szCs w:val="32"/>
        </w:rPr>
      </w:pPr>
      <w:r>
        <w:rPr>
          <w:rFonts w:hAnsi="黑体" w:eastAsia="黑体"/>
          <w:szCs w:val="32"/>
        </w:rPr>
        <w:br w:type="page"/>
      </w:r>
      <w:r>
        <w:rPr>
          <w:rFonts w:ascii="黑体" w:hAnsi="黑体" w:eastAsia="黑体"/>
          <w:szCs w:val="32"/>
        </w:rPr>
        <w:t>附件5</w:t>
      </w:r>
    </w:p>
    <w:p>
      <w:pPr>
        <w:overflowPunct w:val="0"/>
        <w:spacing w:line="580" w:lineRule="exact"/>
        <w:ind w:firstLine="640" w:firstLineChars="200"/>
        <w:rPr>
          <w:szCs w:val="32"/>
        </w:rPr>
      </w:pPr>
    </w:p>
    <w:p>
      <w:pPr>
        <w:overflowPunct w:val="0"/>
        <w:spacing w:line="580" w:lineRule="exact"/>
        <w:jc w:val="center"/>
        <w:rPr>
          <w:rFonts w:ascii="方正小标宋简体" w:eastAsia="方正小标宋简体"/>
          <w:sz w:val="44"/>
          <w:szCs w:val="44"/>
        </w:rPr>
      </w:pPr>
      <w:r>
        <w:rPr>
          <w:rFonts w:ascii="方正小标宋简体" w:eastAsia="方正小标宋简体"/>
          <w:sz w:val="44"/>
          <w:szCs w:val="44"/>
        </w:rPr>
        <w:t>浙江省港口经营及相关业务经营者</w:t>
      </w:r>
    </w:p>
    <w:p>
      <w:pPr>
        <w:overflowPunct w:val="0"/>
        <w:spacing w:line="580" w:lineRule="exact"/>
        <w:jc w:val="center"/>
        <w:rPr>
          <w:rFonts w:ascii="方正小标宋简体" w:eastAsia="方正小标宋简体"/>
          <w:sz w:val="44"/>
          <w:szCs w:val="44"/>
        </w:rPr>
      </w:pPr>
      <w:r>
        <w:rPr>
          <w:rFonts w:ascii="方正小标宋简体" w:eastAsia="方正小标宋简体"/>
          <w:sz w:val="44"/>
          <w:szCs w:val="44"/>
        </w:rPr>
        <w:t>信用管理实施细则</w:t>
      </w:r>
    </w:p>
    <w:p>
      <w:pPr>
        <w:overflowPunct w:val="0"/>
        <w:spacing w:line="580" w:lineRule="exact"/>
        <w:ind w:firstLine="640" w:firstLineChars="200"/>
        <w:rPr>
          <w:szCs w:val="32"/>
        </w:rPr>
      </w:pPr>
    </w:p>
    <w:p>
      <w:pPr>
        <w:overflowPunct w:val="0"/>
        <w:spacing w:line="580" w:lineRule="exact"/>
        <w:ind w:firstLine="640" w:firstLineChars="200"/>
        <w:rPr>
          <w:szCs w:val="32"/>
        </w:rPr>
      </w:pPr>
      <w:r>
        <w:rPr>
          <w:szCs w:val="32"/>
        </w:rPr>
        <w:t>为推进我省港口信用体系建设，营造诚信经营环境，根据《中华人民共和国港口法》《水路运输市场信用信息管理办法（试行）》等规定，结合我省港口经营实际，制定本细则。</w:t>
      </w:r>
    </w:p>
    <w:p>
      <w:pPr>
        <w:overflowPunct w:val="0"/>
        <w:spacing w:line="580" w:lineRule="exact"/>
        <w:ind w:firstLine="640" w:firstLineChars="200"/>
        <w:rPr>
          <w:rFonts w:ascii="黑体" w:hAnsi="黑体" w:eastAsia="黑体"/>
          <w:szCs w:val="32"/>
        </w:rPr>
      </w:pPr>
      <w:r>
        <w:rPr>
          <w:rFonts w:ascii="黑体" w:hAnsi="黑体" w:eastAsia="黑体"/>
          <w:szCs w:val="32"/>
        </w:rPr>
        <w:t>一、适用范围</w:t>
      </w:r>
    </w:p>
    <w:p>
      <w:pPr>
        <w:tabs>
          <w:tab w:val="left" w:pos="0"/>
        </w:tabs>
        <w:overflowPunct w:val="0"/>
        <w:spacing w:line="580" w:lineRule="exact"/>
        <w:ind w:firstLine="640" w:firstLineChars="200"/>
        <w:rPr>
          <w:szCs w:val="32"/>
        </w:rPr>
      </w:pPr>
      <w:r>
        <w:rPr>
          <w:szCs w:val="32"/>
        </w:rPr>
        <w:t>本细则适用于本省行政区域内港口经营及其相关业务经营者的信用信息采集、归集、共享、评价和应用等管理活动。</w:t>
      </w:r>
    </w:p>
    <w:p>
      <w:pPr>
        <w:shd w:val="clear" w:color="auto" w:fill="FFFFFF"/>
        <w:overflowPunct w:val="0"/>
        <w:spacing w:line="580" w:lineRule="exact"/>
        <w:ind w:firstLine="640" w:firstLineChars="200"/>
        <w:rPr>
          <w:szCs w:val="32"/>
        </w:rPr>
      </w:pPr>
      <w:r>
        <w:rPr>
          <w:rFonts w:eastAsia="楷体_GB2312"/>
          <w:szCs w:val="32"/>
        </w:rPr>
        <w:t>（一）港口经营及其相关业务经营者是指：</w:t>
      </w:r>
      <w:r>
        <w:rPr>
          <w:szCs w:val="32"/>
        </w:rPr>
        <w:t>依法取得经营资格从事港口经营、服务以及安全评价活动的具有法人资格的经济组织，包括港口经营类企业、港口服务类企业以及在浙江省开展港口危险货物企业安全评价的机构和项目负责人。</w:t>
      </w:r>
    </w:p>
    <w:p>
      <w:pPr>
        <w:shd w:val="clear" w:color="auto" w:fill="FFFFFF"/>
        <w:overflowPunct w:val="0"/>
        <w:spacing w:line="580" w:lineRule="exact"/>
        <w:ind w:firstLine="640" w:firstLineChars="200"/>
        <w:rPr>
          <w:szCs w:val="32"/>
        </w:rPr>
      </w:pPr>
      <w:r>
        <w:rPr>
          <w:rFonts w:eastAsia="楷体_GB2312"/>
          <w:szCs w:val="32"/>
        </w:rPr>
        <w:t>（二）港口经营类企业是指：</w:t>
      </w:r>
      <w:r>
        <w:rPr>
          <w:szCs w:val="32"/>
        </w:rPr>
        <w:t>依法取得港口经营许可，从事港口经营（拖轮经营除外）业务的企业。</w:t>
      </w:r>
    </w:p>
    <w:p>
      <w:pPr>
        <w:shd w:val="clear" w:color="auto" w:fill="FFFFFF"/>
        <w:overflowPunct w:val="0"/>
        <w:spacing w:line="580" w:lineRule="exact"/>
        <w:ind w:firstLine="640" w:firstLineChars="200"/>
        <w:rPr>
          <w:szCs w:val="32"/>
        </w:rPr>
      </w:pPr>
      <w:r>
        <w:rPr>
          <w:rFonts w:eastAsia="楷体_GB2312"/>
          <w:szCs w:val="32"/>
        </w:rPr>
        <w:t>（三）港口服务类企业是指：</w:t>
      </w:r>
      <w:r>
        <w:rPr>
          <w:szCs w:val="32"/>
        </w:rPr>
        <w:t>从</w:t>
      </w:r>
      <w:r>
        <w:rPr>
          <w:spacing w:val="-6"/>
          <w:szCs w:val="32"/>
        </w:rPr>
        <w:t>事港口理货业务、港口拖轮经营业务的企业。</w:t>
      </w:r>
    </w:p>
    <w:p>
      <w:pPr>
        <w:shd w:val="clear" w:color="auto" w:fill="FFFFFF"/>
        <w:overflowPunct w:val="0"/>
        <w:spacing w:line="580" w:lineRule="exact"/>
        <w:ind w:firstLine="640" w:firstLineChars="200"/>
        <w:rPr>
          <w:rFonts w:hint="eastAsia" w:ascii="仿宋_GB2312"/>
          <w:szCs w:val="32"/>
        </w:rPr>
      </w:pPr>
      <w:r>
        <w:rPr>
          <w:rFonts w:eastAsia="楷体_GB2312"/>
          <w:szCs w:val="32"/>
        </w:rPr>
        <w:t>（四）在浙江省开展港口危险货物企业安全评价的机构和项目负责人是指：</w:t>
      </w:r>
      <w:r>
        <w:rPr>
          <w:rFonts w:hint="eastAsia" w:ascii="仿宋_GB2312"/>
          <w:szCs w:val="32"/>
        </w:rPr>
        <w:t>在浙江省出具港口危险货物安全评价报告的安全评价机构（以下简称“安全评价机构”）和编制安全评价报告的项目负责人（以下简称“项目负责人”）。</w:t>
      </w:r>
    </w:p>
    <w:p>
      <w:pPr>
        <w:tabs>
          <w:tab w:val="left" w:pos="0"/>
        </w:tabs>
        <w:overflowPunct w:val="0"/>
        <w:spacing w:line="580" w:lineRule="exact"/>
        <w:ind w:firstLine="640" w:firstLineChars="200"/>
        <w:rPr>
          <w:szCs w:val="32"/>
        </w:rPr>
      </w:pPr>
      <w:r>
        <w:rPr>
          <w:szCs w:val="32"/>
        </w:rPr>
        <w:t>港口危险货物安全评价报告按照实施阶段的不同分为三类：危险货物港口建设项目安全预评价报告、危险货物港口建设项目安全验收评价报告、危险货物港口作业安全评价报告。</w:t>
      </w:r>
    </w:p>
    <w:p>
      <w:pPr>
        <w:overflowPunct w:val="0"/>
        <w:spacing w:line="580" w:lineRule="exact"/>
        <w:ind w:firstLine="640" w:firstLineChars="200"/>
        <w:rPr>
          <w:rFonts w:ascii="黑体" w:hAnsi="黑体" w:eastAsia="黑体"/>
          <w:szCs w:val="32"/>
        </w:rPr>
      </w:pPr>
      <w:r>
        <w:rPr>
          <w:rFonts w:ascii="黑体" w:hAnsi="黑体" w:eastAsia="黑体"/>
          <w:szCs w:val="32"/>
        </w:rPr>
        <w:t>二、港口经营及相关业务经营者信用信息归集</w:t>
      </w:r>
    </w:p>
    <w:p>
      <w:pPr>
        <w:shd w:val="clear" w:color="auto" w:fill="FFFFFF"/>
        <w:overflowPunct w:val="0"/>
        <w:spacing w:line="580" w:lineRule="exact"/>
        <w:ind w:firstLine="640" w:firstLineChars="200"/>
        <w:rPr>
          <w:szCs w:val="32"/>
        </w:rPr>
      </w:pPr>
      <w:r>
        <w:rPr>
          <w:rFonts w:eastAsia="楷体_GB2312"/>
          <w:szCs w:val="32"/>
        </w:rPr>
        <w:t>（一）港口经营及其相关企业基础信息主要包括：</w:t>
      </w:r>
      <w:r>
        <w:rPr>
          <w:szCs w:val="32"/>
        </w:rPr>
        <w:t>企业登记注册信息、公共信用评价信息以及交通运输许可等信息</w:t>
      </w:r>
      <w:r>
        <w:rPr>
          <w:rFonts w:hint="eastAsia"/>
          <w:szCs w:val="32"/>
        </w:rPr>
        <w:t>。</w:t>
      </w:r>
      <w:r>
        <w:rPr>
          <w:szCs w:val="32"/>
        </w:rPr>
        <w:t>采取如下方式进行归集：企业登记注册信息由各级交通运输部门采用系统对接、数据整体上传等方式归集；公共信用评价信息通过浙江省公共信用信息服务平台获取。</w:t>
      </w:r>
    </w:p>
    <w:p>
      <w:pPr>
        <w:shd w:val="clear" w:color="auto" w:fill="FFFFFF"/>
        <w:overflowPunct w:val="0"/>
        <w:spacing w:line="580" w:lineRule="exact"/>
        <w:ind w:firstLine="640" w:firstLineChars="200"/>
        <w:rPr>
          <w:rFonts w:hint="eastAsia" w:ascii="仿宋_GB2312"/>
          <w:szCs w:val="32"/>
        </w:rPr>
      </w:pPr>
      <w:r>
        <w:rPr>
          <w:rFonts w:eastAsia="楷体_GB2312"/>
          <w:szCs w:val="32"/>
        </w:rPr>
        <w:t>（二）港口经营及其相关企业不良信息主要包括：</w:t>
      </w:r>
      <w:r>
        <w:rPr>
          <w:rFonts w:hint="eastAsia" w:ascii="仿宋_GB2312"/>
          <w:szCs w:val="32"/>
        </w:rPr>
        <w:t>经营、安全、环保</w:t>
      </w:r>
      <w:r>
        <w:rPr>
          <w:rFonts w:hint="eastAsia" w:ascii="仿宋_GB2312"/>
          <w:szCs w:val="32"/>
          <w:lang w:eastAsia="zh-Hans"/>
        </w:rPr>
        <w:t>等</w:t>
      </w:r>
      <w:r>
        <w:rPr>
          <w:rFonts w:hint="eastAsia" w:ascii="仿宋_GB2312"/>
          <w:szCs w:val="32"/>
        </w:rPr>
        <w:t>违法</w:t>
      </w:r>
      <w:r>
        <w:rPr>
          <w:rFonts w:hint="eastAsia" w:ascii="仿宋_GB2312"/>
          <w:szCs w:val="32"/>
          <w:lang w:eastAsia="zh-Hans"/>
        </w:rPr>
        <w:t>行为被处以</w:t>
      </w:r>
      <w:r>
        <w:rPr>
          <w:rFonts w:hint="eastAsia" w:ascii="仿宋_GB2312"/>
          <w:szCs w:val="32"/>
        </w:rPr>
        <w:t>行政处罚</w:t>
      </w:r>
      <w:r>
        <w:rPr>
          <w:rFonts w:hint="eastAsia" w:ascii="仿宋_GB2312"/>
          <w:szCs w:val="32"/>
          <w:lang w:eastAsia="zh-Hans"/>
        </w:rPr>
        <w:t>的</w:t>
      </w:r>
      <w:r>
        <w:rPr>
          <w:rFonts w:hint="eastAsia" w:ascii="仿宋_GB2312"/>
          <w:szCs w:val="32"/>
        </w:rPr>
        <w:t>信息，</w:t>
      </w:r>
      <w:r>
        <w:rPr>
          <w:rFonts w:hint="eastAsia" w:ascii="仿宋_GB2312"/>
          <w:szCs w:val="32"/>
          <w:lang w:bidi="ar"/>
        </w:rPr>
        <w:t>以欺骗、贿赂等不正当手段取得港口经营行政许可、行政确认、行政给付、行政奖励的信息；经司法生效判决认定构成犯罪的信息；不履行行政决定而被依法行政强制执行的信息；不履行判决、裁定等生效法律文书的信息；</w:t>
      </w:r>
      <w:r>
        <w:rPr>
          <w:rFonts w:hint="eastAsia" w:ascii="仿宋_GB2312"/>
          <w:szCs w:val="32"/>
        </w:rPr>
        <w:t>经依法认定的违反法律、法规和规章规定的其他不良信息等相关内容。其中，以下行为认定为港口经营类、服务类企业严重不良信息：</w:t>
      </w:r>
    </w:p>
    <w:p>
      <w:pPr>
        <w:overflowPunct w:val="0"/>
        <w:spacing w:line="580" w:lineRule="exact"/>
        <w:ind w:firstLine="640" w:firstLineChars="200"/>
        <w:rPr>
          <w:rFonts w:hint="eastAsia" w:ascii="仿宋_GB2312"/>
          <w:szCs w:val="32"/>
        </w:rPr>
      </w:pPr>
      <w:r>
        <w:rPr>
          <w:rFonts w:hint="eastAsia" w:ascii="仿宋_GB2312"/>
          <w:szCs w:val="32"/>
        </w:rPr>
        <w:t>1.发生一次一般及以上安全生产责任事故的；</w:t>
      </w:r>
    </w:p>
    <w:p>
      <w:pPr>
        <w:overflowPunct w:val="0"/>
        <w:spacing w:line="580" w:lineRule="exact"/>
        <w:ind w:firstLine="640" w:firstLineChars="200"/>
        <w:rPr>
          <w:rFonts w:hint="eastAsia" w:ascii="仿宋_GB2312"/>
          <w:szCs w:val="32"/>
        </w:rPr>
      </w:pPr>
      <w:r>
        <w:rPr>
          <w:rFonts w:hint="eastAsia" w:ascii="仿宋_GB2312"/>
          <w:szCs w:val="32"/>
        </w:rPr>
        <w:t>2.发生一次重大环境污染事件的；</w:t>
      </w:r>
    </w:p>
    <w:p>
      <w:pPr>
        <w:overflowPunct w:val="0"/>
        <w:spacing w:line="580" w:lineRule="exact"/>
        <w:ind w:firstLine="640" w:firstLineChars="200"/>
        <w:rPr>
          <w:rFonts w:hint="eastAsia" w:ascii="仿宋_GB2312"/>
          <w:szCs w:val="32"/>
        </w:rPr>
      </w:pPr>
      <w:r>
        <w:rPr>
          <w:rFonts w:hint="eastAsia" w:ascii="仿宋_GB2312"/>
          <w:szCs w:val="32"/>
        </w:rPr>
        <w:t>3.隐瞒有关情况或提供虚假材料申请港口经营许可，或者以欺骗、贿赂等不正当手段取得港口经营许可证，伪造、变造、涂改港口经营许可证的；</w:t>
      </w:r>
    </w:p>
    <w:p>
      <w:pPr>
        <w:overflowPunct w:val="0"/>
        <w:spacing w:line="580" w:lineRule="exact"/>
        <w:ind w:firstLine="640" w:firstLineChars="200"/>
        <w:rPr>
          <w:rFonts w:hint="eastAsia" w:ascii="仿宋_GB2312"/>
          <w:szCs w:val="32"/>
        </w:rPr>
      </w:pPr>
      <w:r>
        <w:rPr>
          <w:rFonts w:hint="eastAsia" w:ascii="仿宋_GB2312"/>
          <w:szCs w:val="32"/>
        </w:rPr>
        <w:t>4.企业以告知承诺制办理港口经营许可业务，经核查发现未达到许可条件，被撤销许可决定的；</w:t>
      </w:r>
    </w:p>
    <w:p>
      <w:pPr>
        <w:tabs>
          <w:tab w:val="left" w:pos="0"/>
        </w:tabs>
        <w:overflowPunct w:val="0"/>
        <w:spacing w:line="580" w:lineRule="exact"/>
        <w:ind w:firstLine="640" w:firstLineChars="200"/>
        <w:rPr>
          <w:rFonts w:hint="eastAsia" w:ascii="仿宋_GB2312"/>
          <w:szCs w:val="32"/>
        </w:rPr>
      </w:pPr>
      <w:r>
        <w:rPr>
          <w:rFonts w:hint="eastAsia" w:ascii="仿宋_GB2312"/>
          <w:szCs w:val="32"/>
        </w:rPr>
        <w:t>5.具有法律、法规、规章规定的其他应当将信息主体列入严重失信名单的相关信息情形的。</w:t>
      </w:r>
    </w:p>
    <w:p>
      <w:pPr>
        <w:shd w:val="clear" w:color="auto" w:fill="FFFFFF"/>
        <w:overflowPunct w:val="0"/>
        <w:spacing w:line="580" w:lineRule="exact"/>
        <w:ind w:firstLine="640" w:firstLineChars="200"/>
        <w:rPr>
          <w:rFonts w:eastAsia="楷体_GB2312"/>
          <w:szCs w:val="32"/>
        </w:rPr>
      </w:pPr>
      <w:r>
        <w:rPr>
          <w:rFonts w:eastAsia="楷体_GB2312"/>
          <w:szCs w:val="32"/>
        </w:rPr>
        <w:t>（三）港口危险货物安全评价行为分为港口危险货物建设项目安全预评价、港口危险货物建设项目安全验收评价和港口危险货物作业安全评价，分别对应以下情况：</w:t>
      </w:r>
    </w:p>
    <w:p>
      <w:pPr>
        <w:tabs>
          <w:tab w:val="left" w:pos="0"/>
        </w:tabs>
        <w:overflowPunct w:val="0"/>
        <w:spacing w:line="580" w:lineRule="exact"/>
        <w:ind w:firstLine="640" w:firstLineChars="200"/>
        <w:rPr>
          <w:rFonts w:hint="eastAsia" w:ascii="仿宋_GB2312"/>
          <w:szCs w:val="32"/>
        </w:rPr>
      </w:pPr>
      <w:r>
        <w:rPr>
          <w:rFonts w:hint="eastAsia" w:ascii="仿宋_GB2312"/>
          <w:szCs w:val="32"/>
        </w:rPr>
        <w:t>1.“预评价从业信用”中单次“安全条件审查专家评审分数”由港口危险货物建设项目安全条件审查专家咨询会参会各方无记名评分折算，其中省级负责审查的项目专家、业主代表、省级、市级交通运输部门分别按60%、10%、20%、10%折算得分；市级负责审查的项目专家、业主代表、市级交通运输部门分别按60%、20%、20%折算得分；</w:t>
      </w:r>
    </w:p>
    <w:p>
      <w:pPr>
        <w:tabs>
          <w:tab w:val="left" w:pos="0"/>
        </w:tabs>
        <w:overflowPunct w:val="0"/>
        <w:spacing w:line="580" w:lineRule="exact"/>
        <w:ind w:firstLine="640" w:firstLineChars="200"/>
        <w:rPr>
          <w:rFonts w:hint="eastAsia" w:ascii="仿宋_GB2312"/>
          <w:szCs w:val="32"/>
        </w:rPr>
      </w:pPr>
      <w:r>
        <w:rPr>
          <w:rFonts w:hint="eastAsia" w:ascii="仿宋_GB2312"/>
          <w:szCs w:val="32"/>
        </w:rPr>
        <w:t>2.“验收、危货作业评价从业信用”相关内容根据经营许可过程中对危险货物港口建设项目安全验收评价报告的抽查情况和日常监督检查中对危险货物港口作业安全评价报告的抽查情况等，由各级交通运输部门实施计分。</w:t>
      </w:r>
    </w:p>
    <w:p>
      <w:pPr>
        <w:tabs>
          <w:tab w:val="left" w:pos="0"/>
        </w:tabs>
        <w:overflowPunct w:val="0"/>
        <w:spacing w:line="580" w:lineRule="exact"/>
        <w:ind w:firstLine="640" w:firstLineChars="200"/>
        <w:rPr>
          <w:rFonts w:hint="eastAsia" w:ascii="仿宋_GB2312"/>
          <w:szCs w:val="32"/>
        </w:rPr>
      </w:pPr>
      <w:r>
        <w:rPr>
          <w:rFonts w:hint="eastAsia" w:ascii="仿宋_GB2312"/>
          <w:szCs w:val="32"/>
        </w:rPr>
        <w:t>其中，以下行为认定为安全评价机构或项目负责人严重不良信息：</w:t>
      </w:r>
    </w:p>
    <w:p>
      <w:pPr>
        <w:overflowPunct w:val="0"/>
        <w:spacing w:line="580" w:lineRule="exact"/>
        <w:ind w:firstLine="640" w:firstLineChars="200"/>
        <w:rPr>
          <w:rFonts w:hint="eastAsia" w:ascii="仿宋_GB2312"/>
          <w:szCs w:val="32"/>
        </w:rPr>
      </w:pPr>
      <w:r>
        <w:rPr>
          <w:rFonts w:hint="eastAsia" w:ascii="仿宋_GB2312"/>
          <w:szCs w:val="32"/>
        </w:rPr>
        <w:t>1.转让、租借资质证书或者转包安全评价项目的；</w:t>
      </w:r>
    </w:p>
    <w:p>
      <w:pPr>
        <w:overflowPunct w:val="0"/>
        <w:spacing w:line="580" w:lineRule="exact"/>
        <w:ind w:firstLine="640" w:firstLineChars="200"/>
        <w:rPr>
          <w:rFonts w:hint="eastAsia" w:ascii="仿宋_GB2312"/>
          <w:szCs w:val="32"/>
        </w:rPr>
      </w:pPr>
      <w:r>
        <w:rPr>
          <w:rFonts w:hint="eastAsia" w:ascii="仿宋_GB2312"/>
          <w:szCs w:val="32"/>
        </w:rPr>
        <w:t>2.从业人员不到现场开展评价活动的；</w:t>
      </w:r>
    </w:p>
    <w:p>
      <w:pPr>
        <w:overflowPunct w:val="0"/>
        <w:spacing w:line="580" w:lineRule="exact"/>
        <w:ind w:firstLine="640" w:firstLineChars="200"/>
        <w:rPr>
          <w:rFonts w:hint="eastAsia" w:ascii="仿宋_GB2312"/>
          <w:szCs w:val="32"/>
        </w:rPr>
      </w:pPr>
      <w:r>
        <w:rPr>
          <w:rFonts w:hint="eastAsia" w:ascii="仿宋_GB2312"/>
          <w:szCs w:val="32"/>
        </w:rPr>
        <w:t>3.未取得相应资质证书、或者未经批准延期擅自从事安全评价活动的；</w:t>
      </w:r>
    </w:p>
    <w:p>
      <w:pPr>
        <w:overflowPunct w:val="0"/>
        <w:spacing w:line="580" w:lineRule="exact"/>
        <w:ind w:firstLine="640" w:firstLineChars="200"/>
        <w:rPr>
          <w:rFonts w:hint="eastAsia" w:ascii="仿宋_GB2312"/>
          <w:szCs w:val="32"/>
        </w:rPr>
      </w:pPr>
      <w:r>
        <w:rPr>
          <w:rFonts w:hint="eastAsia" w:ascii="仿宋_GB2312"/>
          <w:szCs w:val="32"/>
        </w:rPr>
        <w:t>4.冒用资质证书或者使用伪造的资质证书从事安全评价活动的；</w:t>
      </w:r>
    </w:p>
    <w:p>
      <w:pPr>
        <w:overflowPunct w:val="0"/>
        <w:spacing w:line="580" w:lineRule="exact"/>
        <w:ind w:firstLine="640" w:firstLineChars="200"/>
        <w:rPr>
          <w:rFonts w:hint="eastAsia" w:ascii="仿宋_GB2312"/>
          <w:szCs w:val="32"/>
        </w:rPr>
      </w:pPr>
      <w:r>
        <w:rPr>
          <w:rFonts w:hint="eastAsia" w:ascii="仿宋_GB2312"/>
          <w:szCs w:val="32"/>
        </w:rPr>
        <w:t>5.安全评价报告与实际情况严重不符，出具虚假报告或者虚假证明的；</w:t>
      </w:r>
    </w:p>
    <w:p>
      <w:pPr>
        <w:overflowPunct w:val="0"/>
        <w:spacing w:line="580" w:lineRule="exact"/>
        <w:ind w:firstLine="640" w:firstLineChars="200"/>
        <w:rPr>
          <w:rFonts w:hint="eastAsia" w:ascii="仿宋_GB2312"/>
          <w:szCs w:val="32"/>
        </w:rPr>
      </w:pPr>
      <w:r>
        <w:rPr>
          <w:rFonts w:hint="eastAsia" w:ascii="仿宋_GB2312"/>
          <w:szCs w:val="32"/>
        </w:rPr>
        <w:t>6.因评价机构责任，造成安全生产事故或重大经济损失的。</w:t>
      </w:r>
    </w:p>
    <w:p>
      <w:pPr>
        <w:overflowPunct w:val="0"/>
        <w:spacing w:line="580" w:lineRule="exact"/>
        <w:ind w:firstLine="640" w:firstLineChars="200"/>
        <w:rPr>
          <w:rFonts w:hint="eastAsia" w:ascii="仿宋_GB2312"/>
          <w:szCs w:val="32"/>
        </w:rPr>
      </w:pPr>
      <w:r>
        <w:rPr>
          <w:rFonts w:hint="eastAsia" w:ascii="仿宋_GB2312"/>
          <w:szCs w:val="32"/>
        </w:rPr>
        <w:t>其中第1至5条适用于安全评价机构，第2、5、6适用于项目负责人。</w:t>
      </w:r>
    </w:p>
    <w:p>
      <w:pPr>
        <w:overflowPunct w:val="0"/>
        <w:spacing w:line="580" w:lineRule="exact"/>
        <w:ind w:firstLine="640" w:firstLineChars="200"/>
        <w:rPr>
          <w:szCs w:val="32"/>
          <w:lang w:bidi="ar"/>
        </w:rPr>
      </w:pPr>
      <w:r>
        <w:rPr>
          <w:rFonts w:eastAsia="楷体_GB2312"/>
          <w:szCs w:val="32"/>
        </w:rPr>
        <w:t>（四）港口经营及其相关企业信用信息填报要求。</w:t>
      </w:r>
      <w:r>
        <w:rPr>
          <w:rFonts w:hint="eastAsia" w:ascii="仿宋_GB2312"/>
          <w:szCs w:val="32"/>
        </w:rPr>
        <w:t>原则上应当</w:t>
      </w:r>
      <w:r>
        <w:rPr>
          <w:rFonts w:hint="eastAsia" w:ascii="仿宋_GB2312"/>
          <w:szCs w:val="32"/>
          <w:lang w:bidi="ar"/>
        </w:rPr>
        <w:t>自信用信息采集部门获取信息之日起5个工作日内完成填报（行政处罚信息存在行政复议、行政诉讼的，以程序终结后法律文书送达之日起计算）。</w:t>
      </w:r>
    </w:p>
    <w:p>
      <w:pPr>
        <w:overflowPunct w:val="0"/>
        <w:spacing w:line="580" w:lineRule="exact"/>
        <w:ind w:firstLine="640" w:firstLineChars="200"/>
        <w:rPr>
          <w:rFonts w:ascii="黑体" w:hAnsi="黑体" w:eastAsia="黑体"/>
          <w:szCs w:val="32"/>
        </w:rPr>
      </w:pPr>
      <w:r>
        <w:rPr>
          <w:rFonts w:ascii="黑体" w:hAnsi="黑体" w:eastAsia="黑体"/>
          <w:szCs w:val="32"/>
        </w:rPr>
        <w:t>三、港口经营及相关业务经营者信用评价</w:t>
      </w:r>
    </w:p>
    <w:p>
      <w:pPr>
        <w:overflowPunct w:val="0"/>
        <w:spacing w:line="580" w:lineRule="exact"/>
        <w:ind w:firstLine="640" w:firstLineChars="200"/>
        <w:rPr>
          <w:rFonts w:hint="eastAsia" w:ascii="仿宋_GB2312"/>
          <w:szCs w:val="32"/>
          <w:lang w:bidi="ar"/>
        </w:rPr>
      </w:pPr>
      <w:r>
        <w:rPr>
          <w:rFonts w:eastAsia="楷体_GB2312"/>
          <w:szCs w:val="32"/>
        </w:rPr>
        <w:t>（一）信用等级和分值。</w:t>
      </w:r>
      <w:r>
        <w:rPr>
          <w:rFonts w:hint="eastAsia" w:ascii="仿宋_GB2312"/>
          <w:szCs w:val="32"/>
          <w:lang w:bidi="ar"/>
        </w:rPr>
        <w:t>港口经营及相关企业信用评价基础总分为1000分。信用等级分为AA、A、B、C和D五个等级，分别对应优秀、良好、中等、较差、差，</w:t>
      </w:r>
      <w:r>
        <w:rPr>
          <w:rFonts w:hint="eastAsia" w:ascii="仿宋_GB2312"/>
          <w:szCs w:val="32"/>
        </w:rPr>
        <w:t>按以下标准进行评定：</w:t>
      </w:r>
      <w:r>
        <w:rPr>
          <w:rFonts w:hint="eastAsia" w:ascii="仿宋_GB2312"/>
          <w:szCs w:val="32"/>
          <w:lang w:bidi="ar"/>
        </w:rPr>
        <w:t>AA级：950分≤X≤1000分，且上一年度信用评价等级均为A级及以上的，信用优秀；A级：850分≤X＜950分，信用良好；B级：700分≤X＜850分，信用中等；C级：600分≤X＜700分，信用较差；D级：X＜600分，信用差。</w:t>
      </w:r>
    </w:p>
    <w:p>
      <w:pPr>
        <w:shd w:val="clear" w:color="auto" w:fill="FFFFFF"/>
        <w:overflowPunct w:val="0"/>
        <w:spacing w:line="580" w:lineRule="exact"/>
        <w:ind w:firstLine="640" w:firstLineChars="200"/>
        <w:rPr>
          <w:rFonts w:eastAsia="楷体_GB2312"/>
          <w:szCs w:val="32"/>
        </w:rPr>
      </w:pPr>
      <w:r>
        <w:rPr>
          <w:rFonts w:eastAsia="楷体_GB2312"/>
          <w:szCs w:val="32"/>
        </w:rPr>
        <w:t>（二）</w:t>
      </w:r>
      <w:bookmarkStart w:id="5" w:name="_Hlk65240084"/>
      <w:r>
        <w:rPr>
          <w:rFonts w:eastAsia="楷体_GB2312"/>
          <w:szCs w:val="32"/>
        </w:rPr>
        <w:t>评价主要指标及分值</w:t>
      </w:r>
      <w:bookmarkEnd w:id="5"/>
    </w:p>
    <w:p>
      <w:pPr>
        <w:overflowPunct w:val="0"/>
        <w:spacing w:line="580" w:lineRule="exact"/>
        <w:ind w:firstLine="640" w:firstLineChars="200"/>
        <w:rPr>
          <w:rFonts w:hint="eastAsia" w:ascii="仿宋_GB2312"/>
          <w:szCs w:val="32"/>
          <w:lang w:bidi="ar"/>
        </w:rPr>
      </w:pPr>
      <w:r>
        <w:rPr>
          <w:rFonts w:hint="eastAsia" w:ascii="仿宋_GB2312"/>
          <w:bCs/>
          <w:szCs w:val="32"/>
          <w:lang w:bidi="ar"/>
        </w:rPr>
        <w:t>1.港口经营类企业</w:t>
      </w:r>
      <w:r>
        <w:rPr>
          <w:rFonts w:hint="eastAsia" w:ascii="仿宋_GB2312"/>
          <w:szCs w:val="32"/>
          <w:lang w:bidi="ar"/>
        </w:rPr>
        <w:t>信用评价标准主要指标及分值：经营信用100分，安全信用300分，环保信用200分，行政处罚300分，公共信用100分；</w:t>
      </w:r>
    </w:p>
    <w:p>
      <w:pPr>
        <w:tabs>
          <w:tab w:val="left" w:pos="0"/>
        </w:tabs>
        <w:overflowPunct w:val="0"/>
        <w:spacing w:line="580" w:lineRule="exact"/>
        <w:ind w:firstLine="640" w:firstLineChars="200"/>
        <w:rPr>
          <w:rFonts w:hint="eastAsia" w:ascii="仿宋_GB2312"/>
          <w:szCs w:val="32"/>
          <w:lang w:bidi="ar"/>
        </w:rPr>
      </w:pPr>
      <w:r>
        <w:rPr>
          <w:rFonts w:hint="eastAsia" w:ascii="仿宋_GB2312"/>
          <w:szCs w:val="32"/>
          <w:lang w:bidi="ar"/>
        </w:rPr>
        <w:t>2.</w:t>
      </w:r>
      <w:r>
        <w:rPr>
          <w:rFonts w:hint="eastAsia" w:ascii="仿宋_GB2312"/>
          <w:bCs/>
          <w:szCs w:val="32"/>
          <w:lang w:bidi="ar"/>
        </w:rPr>
        <w:t>港口服务类企业</w:t>
      </w:r>
      <w:r>
        <w:rPr>
          <w:rFonts w:hint="eastAsia" w:ascii="仿宋_GB2312"/>
          <w:szCs w:val="32"/>
          <w:lang w:bidi="ar"/>
        </w:rPr>
        <w:t>信用评价标准主要指标及分值：经营信用100分，安全信用300分，行政处罚500分，公共信息100分；</w:t>
      </w:r>
    </w:p>
    <w:p>
      <w:pPr>
        <w:tabs>
          <w:tab w:val="left" w:pos="0"/>
        </w:tabs>
        <w:overflowPunct w:val="0"/>
        <w:spacing w:line="580" w:lineRule="exact"/>
        <w:ind w:firstLine="640" w:firstLineChars="200"/>
        <w:rPr>
          <w:rFonts w:hint="eastAsia" w:ascii="仿宋_GB2312"/>
          <w:szCs w:val="32"/>
          <w:lang w:bidi="ar"/>
        </w:rPr>
      </w:pPr>
      <w:r>
        <w:rPr>
          <w:rFonts w:hint="eastAsia" w:ascii="仿宋_GB2312"/>
          <w:szCs w:val="32"/>
          <w:lang w:bidi="ar"/>
        </w:rPr>
        <w:t>3.</w:t>
      </w:r>
      <w:r>
        <w:rPr>
          <w:rFonts w:hint="eastAsia" w:ascii="仿宋_GB2312"/>
          <w:bCs/>
          <w:szCs w:val="32"/>
          <w:lang w:bidi="ar"/>
        </w:rPr>
        <w:t>安全评价机构及项目负责人</w:t>
      </w:r>
      <w:r>
        <w:rPr>
          <w:rFonts w:hint="eastAsia" w:ascii="仿宋_GB2312"/>
          <w:szCs w:val="32"/>
          <w:lang w:bidi="ar"/>
        </w:rPr>
        <w:t>评价标准主要指标及分值：预评价从业信用500分，验收、危货作业评价从业信用400分，公共信用100分。</w:t>
      </w:r>
    </w:p>
    <w:p>
      <w:pPr>
        <w:overflowPunct w:val="0"/>
        <w:autoSpaceDE w:val="0"/>
        <w:adjustRightInd w:val="0"/>
        <w:spacing w:line="580" w:lineRule="exact"/>
        <w:ind w:firstLine="640" w:firstLineChars="200"/>
        <w:rPr>
          <w:rFonts w:hint="eastAsia" w:ascii="仿宋_GB2312"/>
          <w:szCs w:val="32"/>
          <w:lang w:bidi="ar"/>
        </w:rPr>
      </w:pPr>
      <w:r>
        <w:rPr>
          <w:rFonts w:hint="eastAsia" w:ascii="仿宋_GB2312"/>
          <w:szCs w:val="32"/>
          <w:lang w:bidi="ar"/>
        </w:rPr>
        <w:t>具体评价标准见附表。</w:t>
      </w:r>
    </w:p>
    <w:p>
      <w:pPr>
        <w:tabs>
          <w:tab w:val="left" w:pos="0"/>
        </w:tabs>
        <w:overflowPunct w:val="0"/>
        <w:spacing w:line="580" w:lineRule="exact"/>
        <w:ind w:firstLine="640" w:firstLineChars="200"/>
        <w:rPr>
          <w:szCs w:val="32"/>
          <w:lang w:bidi="ar"/>
        </w:rPr>
      </w:pPr>
      <w:r>
        <w:rPr>
          <w:rFonts w:eastAsia="楷体_GB2312"/>
          <w:szCs w:val="32"/>
        </w:rPr>
        <w:t>（三）</w:t>
      </w:r>
      <w:bookmarkStart w:id="6" w:name="_Hlk65240093"/>
      <w:r>
        <w:rPr>
          <w:rFonts w:eastAsia="楷体_GB2312"/>
          <w:szCs w:val="32"/>
        </w:rPr>
        <w:t>信用评价周期及公示公布</w:t>
      </w:r>
      <w:bookmarkEnd w:id="6"/>
      <w:r>
        <w:rPr>
          <w:rFonts w:eastAsia="楷体_GB2312"/>
          <w:szCs w:val="32"/>
        </w:rPr>
        <w:t>。</w:t>
      </w:r>
      <w:r>
        <w:rPr>
          <w:rFonts w:hint="eastAsia" w:ascii="仿宋_GB2312"/>
          <w:szCs w:val="32"/>
          <w:lang w:bidi="ar"/>
        </w:rPr>
        <w:t>对港口经营及其相关业务经营者的信用等级评价结果，采用数据自动归集与人工录入信息相结合，经系统自动计算后产生，评价结果数据每3个月更新一次，评价周期为每年1月1日至12月31日。年度初评结果于次年2月1日前通过浙江信用交通网站公示，公示无异议的信息于3月1日前对外公布。</w:t>
      </w:r>
    </w:p>
    <w:p>
      <w:pPr>
        <w:overflowPunct w:val="0"/>
        <w:spacing w:line="580" w:lineRule="exact"/>
        <w:ind w:firstLine="640" w:firstLineChars="200"/>
        <w:rPr>
          <w:rFonts w:ascii="黑体" w:hAnsi="黑体" w:eastAsia="黑体"/>
          <w:szCs w:val="32"/>
        </w:rPr>
      </w:pPr>
      <w:r>
        <w:rPr>
          <w:rFonts w:ascii="黑体" w:hAnsi="黑体" w:eastAsia="黑体"/>
          <w:szCs w:val="32"/>
        </w:rPr>
        <w:t>四、港口经营及相关业务经营者信用结果应用</w:t>
      </w:r>
    </w:p>
    <w:p>
      <w:pPr>
        <w:overflowPunct w:val="0"/>
        <w:spacing w:line="580" w:lineRule="exact"/>
        <w:ind w:firstLine="640" w:firstLineChars="200"/>
        <w:rPr>
          <w:rFonts w:hint="eastAsia" w:ascii="仿宋_GB2312"/>
          <w:szCs w:val="32"/>
          <w:lang w:bidi="ar"/>
        </w:rPr>
      </w:pPr>
      <w:r>
        <w:rPr>
          <w:rFonts w:eastAsia="楷体_GB2312"/>
          <w:szCs w:val="32"/>
        </w:rPr>
        <w:t>（一）分级分类监管。</w:t>
      </w:r>
      <w:r>
        <w:rPr>
          <w:rFonts w:hint="eastAsia" w:ascii="仿宋_GB2312"/>
          <w:szCs w:val="32"/>
          <w:lang w:bidi="ar"/>
        </w:rPr>
        <w:t>根据港口经营及其相关企业信用评价结果实施分级分类监管，将信用评价结果作为“双随机”抽查监管依据，适当降低或提高抽查比例。对于从事旅客运输、危险货物作业的港口经营者，按照国家和省有关重点监管事项规定执行。对于其他AA、A、B、C、D级企业，抽查比例可分别设置为当年度计划抽查比例的30%、50%、100%、150%、200%。</w:t>
      </w:r>
    </w:p>
    <w:p>
      <w:pPr>
        <w:shd w:val="clear" w:color="auto" w:fill="FFFFFF"/>
        <w:overflowPunct w:val="0"/>
        <w:spacing w:line="580" w:lineRule="exact"/>
        <w:ind w:firstLine="640" w:firstLineChars="200"/>
        <w:rPr>
          <w:rFonts w:hint="eastAsia" w:ascii="楷体_GB2312" w:eastAsia="楷体_GB2312"/>
          <w:szCs w:val="32"/>
        </w:rPr>
      </w:pPr>
      <w:r>
        <w:rPr>
          <w:rFonts w:hint="eastAsia" w:ascii="楷体_GB2312" w:eastAsia="楷体_GB2312"/>
          <w:szCs w:val="32"/>
        </w:rPr>
        <w:t>（二）对AA级港口经营类、服务类企业，各级交通运输部门可以采取以下激励性措施：</w:t>
      </w:r>
    </w:p>
    <w:p>
      <w:pPr>
        <w:overflowPunct w:val="0"/>
        <w:spacing w:line="580" w:lineRule="exact"/>
        <w:ind w:firstLine="640" w:firstLineChars="200"/>
        <w:rPr>
          <w:rFonts w:hint="eastAsia" w:ascii="仿宋_GB2312"/>
          <w:szCs w:val="32"/>
          <w:lang w:bidi="ar"/>
        </w:rPr>
      </w:pPr>
      <w:r>
        <w:rPr>
          <w:rFonts w:hint="eastAsia" w:ascii="仿宋_GB2312"/>
          <w:szCs w:val="32"/>
          <w:lang w:bidi="ar"/>
        </w:rPr>
        <w:t>1.简化许可审批程序，企业申请港口经营许可延续业务只需提供书面材料，经审查符合条件的，可不再实施现场查验程序；</w:t>
      </w:r>
    </w:p>
    <w:p>
      <w:pPr>
        <w:overflowPunct w:val="0"/>
        <w:spacing w:line="580" w:lineRule="exact"/>
        <w:ind w:firstLine="640" w:firstLineChars="200"/>
        <w:rPr>
          <w:rFonts w:hint="eastAsia" w:ascii="仿宋_GB2312"/>
          <w:szCs w:val="32"/>
          <w:lang w:bidi="ar"/>
        </w:rPr>
      </w:pPr>
      <w:r>
        <w:rPr>
          <w:rFonts w:hint="eastAsia" w:ascii="仿宋_GB2312"/>
          <w:szCs w:val="32"/>
          <w:lang w:bidi="ar"/>
        </w:rPr>
        <w:t>2.除从事港口危险货物作业的企业外，在各类日常监管、专项检查工作中优化监管安排，适当减少检查频次；</w:t>
      </w:r>
    </w:p>
    <w:p>
      <w:pPr>
        <w:overflowPunct w:val="0"/>
        <w:spacing w:line="580" w:lineRule="exact"/>
        <w:ind w:firstLine="640" w:firstLineChars="200"/>
        <w:rPr>
          <w:rFonts w:hint="eastAsia" w:ascii="仿宋_GB2312"/>
          <w:szCs w:val="32"/>
          <w:lang w:bidi="ar"/>
        </w:rPr>
      </w:pPr>
      <w:r>
        <w:rPr>
          <w:rFonts w:hint="eastAsia" w:ascii="仿宋_GB2312"/>
          <w:szCs w:val="32"/>
          <w:lang w:bidi="ar"/>
        </w:rPr>
        <w:t>3.交通运输部门组织开展企业荣誉表彰及评先评优中，同等条件下优先考虑；</w:t>
      </w:r>
    </w:p>
    <w:p>
      <w:pPr>
        <w:overflowPunct w:val="0"/>
        <w:spacing w:line="580" w:lineRule="exact"/>
        <w:ind w:firstLine="640" w:firstLineChars="200"/>
        <w:rPr>
          <w:rFonts w:hint="eastAsia" w:ascii="仿宋_GB2312"/>
          <w:szCs w:val="32"/>
          <w:lang w:bidi="ar"/>
        </w:rPr>
      </w:pPr>
      <w:r>
        <w:rPr>
          <w:rFonts w:hint="eastAsia" w:ascii="仿宋_GB2312"/>
          <w:color w:val="000000"/>
          <w:szCs w:val="32"/>
          <w:lang w:bidi="ar"/>
        </w:rPr>
        <w:t>4.择优选树</w:t>
      </w:r>
      <w:r>
        <w:rPr>
          <w:rFonts w:hint="eastAsia" w:ascii="仿宋_GB2312"/>
          <w:szCs w:val="32"/>
          <w:lang w:bidi="ar"/>
        </w:rPr>
        <w:t>为行业年度诚信典型并向社会公布；</w:t>
      </w:r>
    </w:p>
    <w:p>
      <w:pPr>
        <w:overflowPunct w:val="0"/>
        <w:spacing w:line="580" w:lineRule="exact"/>
        <w:ind w:firstLine="640" w:firstLineChars="200"/>
        <w:rPr>
          <w:rFonts w:hint="eastAsia" w:ascii="仿宋_GB2312"/>
          <w:szCs w:val="32"/>
          <w:lang w:bidi="ar"/>
        </w:rPr>
      </w:pPr>
      <w:r>
        <w:rPr>
          <w:rFonts w:hint="eastAsia" w:ascii="仿宋_GB2312"/>
          <w:szCs w:val="32"/>
          <w:lang w:bidi="ar"/>
        </w:rPr>
        <w:t>5.法律、法规、规章规定可以采取的其他激励性措施。</w:t>
      </w:r>
    </w:p>
    <w:p>
      <w:pPr>
        <w:shd w:val="clear" w:color="auto" w:fill="FFFFFF"/>
        <w:overflowPunct w:val="0"/>
        <w:spacing w:line="580" w:lineRule="exact"/>
        <w:ind w:firstLine="640" w:firstLineChars="200"/>
        <w:rPr>
          <w:rFonts w:hint="eastAsia" w:ascii="楷体_GB2312" w:eastAsia="楷体_GB2312"/>
          <w:szCs w:val="32"/>
        </w:rPr>
      </w:pPr>
      <w:r>
        <w:rPr>
          <w:rFonts w:hint="eastAsia" w:ascii="楷体_GB2312" w:eastAsia="楷体_GB2312"/>
          <w:szCs w:val="32"/>
        </w:rPr>
        <w:t>（三）对AA级安全评价机构，交通运输部门在安全评价和安全咨询服务等方面的政府采购活动中，同等条件下优先考虑。</w:t>
      </w:r>
    </w:p>
    <w:p>
      <w:pPr>
        <w:shd w:val="clear" w:color="auto" w:fill="FFFFFF"/>
        <w:overflowPunct w:val="0"/>
        <w:spacing w:line="580" w:lineRule="exact"/>
        <w:ind w:firstLine="640" w:firstLineChars="200"/>
        <w:rPr>
          <w:rFonts w:hint="eastAsia" w:ascii="楷体_GB2312" w:eastAsia="楷体_GB2312"/>
          <w:szCs w:val="32"/>
        </w:rPr>
      </w:pPr>
      <w:r>
        <w:rPr>
          <w:rFonts w:hint="eastAsia" w:ascii="楷体_GB2312" w:eastAsia="楷体_GB2312"/>
          <w:szCs w:val="32"/>
        </w:rPr>
        <w:t>（四）对D级港口经营类、服务类企业，列入行业重点关注对象名单，并采取以下措施：</w:t>
      </w:r>
    </w:p>
    <w:p>
      <w:pPr>
        <w:overflowPunct w:val="0"/>
        <w:spacing w:line="580" w:lineRule="exact"/>
        <w:ind w:firstLine="640" w:firstLineChars="200"/>
        <w:rPr>
          <w:rFonts w:hint="eastAsia" w:ascii="仿宋_GB2312"/>
          <w:szCs w:val="32"/>
          <w:lang w:bidi="ar"/>
        </w:rPr>
      </w:pPr>
      <w:r>
        <w:rPr>
          <w:rFonts w:hint="eastAsia" w:ascii="仿宋_GB2312"/>
          <w:szCs w:val="32"/>
          <w:lang w:bidi="ar"/>
        </w:rPr>
        <w:t>1</w:t>
      </w:r>
      <w:bookmarkStart w:id="7" w:name="_Hlk65241542"/>
      <w:r>
        <w:rPr>
          <w:rFonts w:hint="eastAsia" w:ascii="仿宋_GB2312"/>
          <w:szCs w:val="32"/>
          <w:lang w:bidi="ar"/>
        </w:rPr>
        <w:t>.办理港口经营许可新申请、延续、变更业务不适用容缺受理、告知承诺制</w:t>
      </w:r>
      <w:bookmarkEnd w:id="7"/>
      <w:r>
        <w:rPr>
          <w:rFonts w:hint="eastAsia" w:ascii="仿宋_GB2312"/>
          <w:szCs w:val="32"/>
          <w:lang w:bidi="ar"/>
        </w:rPr>
        <w:t>；</w:t>
      </w:r>
    </w:p>
    <w:p>
      <w:pPr>
        <w:overflowPunct w:val="0"/>
        <w:spacing w:line="580" w:lineRule="exact"/>
        <w:ind w:firstLine="640" w:firstLineChars="200"/>
        <w:rPr>
          <w:rFonts w:hint="eastAsia" w:ascii="仿宋_GB2312"/>
          <w:szCs w:val="32"/>
        </w:rPr>
      </w:pPr>
      <w:r>
        <w:rPr>
          <w:rFonts w:hint="eastAsia" w:ascii="仿宋_GB2312"/>
          <w:szCs w:val="32"/>
          <w:lang w:bidi="ar"/>
        </w:rPr>
        <w:t>2</w:t>
      </w:r>
      <w:bookmarkStart w:id="8" w:name="_Hlk65241574"/>
      <w:r>
        <w:rPr>
          <w:rFonts w:hint="eastAsia" w:ascii="仿宋_GB2312"/>
          <w:szCs w:val="32"/>
          <w:lang w:bidi="ar"/>
        </w:rPr>
        <w:t>.对于从事港口危险货物作业的企业，其提交危险货物港口作业评价报告应当经7名以上（含7名）专家论证通过，才可核准备案</w:t>
      </w:r>
      <w:bookmarkEnd w:id="8"/>
      <w:r>
        <w:rPr>
          <w:rFonts w:hint="eastAsia" w:ascii="仿宋_GB2312"/>
          <w:szCs w:val="32"/>
          <w:lang w:bidi="ar"/>
        </w:rPr>
        <w:t>；</w:t>
      </w:r>
    </w:p>
    <w:p>
      <w:pPr>
        <w:overflowPunct w:val="0"/>
        <w:spacing w:line="580" w:lineRule="exact"/>
        <w:ind w:firstLine="640" w:firstLineChars="200"/>
        <w:rPr>
          <w:rFonts w:hint="eastAsia" w:ascii="仿宋_GB2312"/>
          <w:szCs w:val="32"/>
          <w:lang w:bidi="ar"/>
        </w:rPr>
      </w:pPr>
      <w:r>
        <w:rPr>
          <w:rFonts w:hint="eastAsia" w:ascii="仿宋_GB2312"/>
          <w:szCs w:val="32"/>
          <w:lang w:bidi="ar"/>
        </w:rPr>
        <w:t>3</w:t>
      </w:r>
      <w:bookmarkStart w:id="9" w:name="_Hlk65241584"/>
      <w:r>
        <w:rPr>
          <w:rFonts w:hint="eastAsia" w:ascii="仿宋_GB2312"/>
          <w:szCs w:val="32"/>
          <w:lang w:bidi="ar"/>
        </w:rPr>
        <w:t>.在实施行政许可等工作中，列为重点审查对象</w:t>
      </w:r>
      <w:bookmarkEnd w:id="9"/>
      <w:r>
        <w:rPr>
          <w:rFonts w:hint="eastAsia" w:ascii="仿宋_GB2312"/>
          <w:szCs w:val="32"/>
          <w:lang w:bidi="ar"/>
        </w:rPr>
        <w:t>；</w:t>
      </w:r>
    </w:p>
    <w:p>
      <w:pPr>
        <w:overflowPunct w:val="0"/>
        <w:spacing w:line="580" w:lineRule="exact"/>
        <w:ind w:firstLine="640" w:firstLineChars="200"/>
        <w:rPr>
          <w:rFonts w:hint="eastAsia" w:ascii="仿宋_GB2312"/>
          <w:szCs w:val="32"/>
          <w:lang w:bidi="ar"/>
        </w:rPr>
      </w:pPr>
      <w:r>
        <w:rPr>
          <w:rFonts w:hint="eastAsia" w:ascii="仿宋_GB2312"/>
          <w:szCs w:val="32"/>
        </w:rPr>
        <w:t>4</w:t>
      </w:r>
      <w:r>
        <w:rPr>
          <w:rFonts w:hint="eastAsia" w:ascii="仿宋_GB2312"/>
          <w:szCs w:val="32"/>
          <w:lang w:bidi="ar"/>
        </w:rPr>
        <w:t>.对企业进行失信警示约谈，并增加各类监督检查频次；</w:t>
      </w:r>
    </w:p>
    <w:p>
      <w:pPr>
        <w:overflowPunct w:val="0"/>
        <w:spacing w:line="580" w:lineRule="exact"/>
        <w:ind w:firstLine="640" w:firstLineChars="200"/>
        <w:rPr>
          <w:rFonts w:hint="eastAsia" w:ascii="仿宋_GB2312"/>
          <w:szCs w:val="32"/>
          <w:lang w:bidi="ar"/>
        </w:rPr>
      </w:pPr>
      <w:r>
        <w:rPr>
          <w:rFonts w:hint="eastAsia" w:ascii="仿宋_GB2312"/>
          <w:szCs w:val="32"/>
          <w:lang w:bidi="ar"/>
        </w:rPr>
        <w:t>5</w:t>
      </w:r>
      <w:bookmarkStart w:id="10" w:name="_Hlk65241622"/>
      <w:r>
        <w:rPr>
          <w:rFonts w:hint="eastAsia" w:ascii="仿宋_GB2312"/>
          <w:szCs w:val="32"/>
          <w:lang w:bidi="ar"/>
        </w:rPr>
        <w:t>.取消评先、评优活动参与资格</w:t>
      </w:r>
      <w:bookmarkEnd w:id="10"/>
      <w:r>
        <w:rPr>
          <w:rFonts w:hint="eastAsia" w:ascii="仿宋_GB2312"/>
          <w:szCs w:val="32"/>
          <w:lang w:bidi="ar"/>
        </w:rPr>
        <w:t>；</w:t>
      </w:r>
    </w:p>
    <w:p>
      <w:pPr>
        <w:overflowPunct w:val="0"/>
        <w:snapToGrid w:val="0"/>
        <w:spacing w:line="580" w:lineRule="exact"/>
        <w:ind w:firstLine="640" w:firstLineChars="200"/>
        <w:rPr>
          <w:rFonts w:hint="eastAsia" w:ascii="仿宋_GB2312"/>
          <w:szCs w:val="32"/>
        </w:rPr>
      </w:pPr>
      <w:r>
        <w:rPr>
          <w:rFonts w:hint="eastAsia" w:ascii="仿宋_GB2312"/>
          <w:szCs w:val="32"/>
        </w:rPr>
        <w:t>6.其他依据有关规定</w:t>
      </w:r>
      <w:r>
        <w:rPr>
          <w:rFonts w:hint="eastAsia" w:ascii="仿宋_GB2312"/>
          <w:szCs w:val="32"/>
          <w:lang w:eastAsia="zh-Hans"/>
        </w:rPr>
        <w:t>可以采取的监管措施。</w:t>
      </w:r>
    </w:p>
    <w:p>
      <w:pPr>
        <w:shd w:val="clear" w:color="auto" w:fill="FFFFFF"/>
        <w:overflowPunct w:val="0"/>
        <w:spacing w:line="580" w:lineRule="exact"/>
        <w:ind w:firstLine="640" w:firstLineChars="200"/>
        <w:rPr>
          <w:rFonts w:hint="eastAsia" w:ascii="楷体_GB2312" w:eastAsia="楷体_GB2312"/>
          <w:szCs w:val="32"/>
        </w:rPr>
      </w:pPr>
      <w:r>
        <w:rPr>
          <w:rFonts w:hint="eastAsia" w:ascii="楷体_GB2312" w:eastAsia="楷体_GB2312"/>
          <w:szCs w:val="32"/>
        </w:rPr>
        <w:t>（五）对C级安全评价机构及项目负责人，交通运输部门应当采取以下措施：</w:t>
      </w:r>
    </w:p>
    <w:p>
      <w:pPr>
        <w:overflowPunct w:val="0"/>
        <w:spacing w:line="580" w:lineRule="exact"/>
        <w:ind w:firstLine="640" w:firstLineChars="200"/>
        <w:rPr>
          <w:rFonts w:hint="eastAsia" w:ascii="仿宋_GB2312"/>
          <w:szCs w:val="32"/>
          <w:lang w:bidi="ar"/>
        </w:rPr>
      </w:pPr>
      <w:r>
        <w:rPr>
          <w:rFonts w:hint="eastAsia" w:ascii="仿宋_GB2312"/>
          <w:szCs w:val="32"/>
          <w:lang w:bidi="ar"/>
        </w:rPr>
        <w:t>1.各级交通运输部门依审批权限对安全评价机构出具的或者项目负责人编制的安全预评价报告所涉及安全条件审查项目进行审查时，应当组织不少于7名专家（其中省级港口安全生产专家库内专家不少于5名）进行咨询论证；</w:t>
      </w:r>
    </w:p>
    <w:p>
      <w:pPr>
        <w:overflowPunct w:val="0"/>
        <w:spacing w:line="580" w:lineRule="exact"/>
        <w:ind w:firstLine="640" w:firstLineChars="200"/>
        <w:rPr>
          <w:rFonts w:hint="eastAsia" w:ascii="仿宋_GB2312"/>
          <w:szCs w:val="32"/>
          <w:lang w:bidi="ar"/>
        </w:rPr>
      </w:pPr>
      <w:r>
        <w:rPr>
          <w:rFonts w:hint="eastAsia" w:ascii="仿宋_GB2312"/>
          <w:szCs w:val="32"/>
          <w:lang w:bidi="ar"/>
        </w:rPr>
        <w:t>2.对安全评价机构所出具或者编制的危险货物港口安全验收评价报告、危险货物港口作业安全评价报告，各级交通运输部门应重点检查，必要时可聘请相关专家协助检查或者组织召开专家咨询会；</w:t>
      </w:r>
    </w:p>
    <w:p>
      <w:pPr>
        <w:overflowPunct w:val="0"/>
        <w:spacing w:line="580" w:lineRule="exact"/>
        <w:ind w:firstLine="640" w:firstLineChars="200"/>
        <w:rPr>
          <w:rFonts w:hint="eastAsia" w:ascii="仿宋_GB2312"/>
          <w:szCs w:val="32"/>
          <w:lang w:bidi="ar"/>
        </w:rPr>
      </w:pPr>
      <w:r>
        <w:rPr>
          <w:rFonts w:hint="eastAsia" w:ascii="仿宋_GB2312"/>
          <w:szCs w:val="32"/>
          <w:lang w:bidi="ar"/>
        </w:rPr>
        <w:t>3.项目许可或备案所在地的交通运输部门对相关企业负责人和项目负责人进行约谈；</w:t>
      </w:r>
    </w:p>
    <w:p>
      <w:pPr>
        <w:overflowPunct w:val="0"/>
        <w:spacing w:line="580" w:lineRule="exact"/>
        <w:ind w:firstLine="640" w:firstLineChars="200"/>
        <w:rPr>
          <w:rFonts w:hint="eastAsia" w:ascii="仿宋_GB2312"/>
          <w:szCs w:val="32"/>
          <w:lang w:bidi="ar"/>
        </w:rPr>
      </w:pPr>
      <w:r>
        <w:rPr>
          <w:rFonts w:hint="eastAsia" w:ascii="仿宋_GB2312"/>
          <w:szCs w:val="32"/>
          <w:lang w:bidi="ar"/>
        </w:rPr>
        <w:t>4.法律、法规、规章规定</w:t>
      </w:r>
      <w:r>
        <w:rPr>
          <w:rFonts w:hint="eastAsia" w:ascii="仿宋_GB2312"/>
          <w:szCs w:val="32"/>
          <w:lang w:eastAsia="zh-Hans" w:bidi="ar"/>
        </w:rPr>
        <w:t>的</w:t>
      </w:r>
      <w:r>
        <w:rPr>
          <w:rFonts w:hint="eastAsia" w:ascii="仿宋_GB2312"/>
          <w:szCs w:val="32"/>
        </w:rPr>
        <w:t>对C级安全评价机构及项目负责人应当采取的措施。</w:t>
      </w:r>
    </w:p>
    <w:p>
      <w:pPr>
        <w:shd w:val="clear" w:color="auto" w:fill="FFFFFF"/>
        <w:overflowPunct w:val="0"/>
        <w:spacing w:line="580" w:lineRule="exact"/>
        <w:ind w:firstLine="640" w:firstLineChars="200"/>
        <w:rPr>
          <w:rFonts w:hint="eastAsia" w:ascii="楷体_GB2312" w:eastAsia="楷体_GB2312"/>
          <w:szCs w:val="32"/>
        </w:rPr>
      </w:pPr>
      <w:r>
        <w:rPr>
          <w:rFonts w:hint="eastAsia" w:ascii="楷体_GB2312" w:eastAsia="楷体_GB2312"/>
          <w:szCs w:val="32"/>
        </w:rPr>
        <w:t>（六）对D级安全评价机构及项目负责人，</w:t>
      </w:r>
      <w:bookmarkStart w:id="11" w:name="_Hlk66739418"/>
      <w:r>
        <w:rPr>
          <w:rFonts w:hint="eastAsia" w:ascii="楷体_GB2312" w:eastAsia="楷体_GB2312"/>
          <w:szCs w:val="32"/>
        </w:rPr>
        <w:t>列入行业重点关注对象名单，</w:t>
      </w:r>
      <w:bookmarkEnd w:id="11"/>
      <w:r>
        <w:rPr>
          <w:rFonts w:hint="eastAsia" w:ascii="楷体_GB2312" w:eastAsia="楷体_GB2312"/>
          <w:szCs w:val="32"/>
        </w:rPr>
        <w:t>并采取以下措施：</w:t>
      </w:r>
    </w:p>
    <w:p>
      <w:pPr>
        <w:overflowPunct w:val="0"/>
        <w:spacing w:line="580" w:lineRule="exact"/>
        <w:ind w:firstLine="640" w:firstLineChars="200"/>
        <w:rPr>
          <w:rFonts w:hint="eastAsia" w:ascii="仿宋_GB2312"/>
          <w:szCs w:val="32"/>
          <w:lang w:bidi="ar"/>
        </w:rPr>
      </w:pPr>
      <w:r>
        <w:rPr>
          <w:rFonts w:hint="eastAsia" w:ascii="仿宋_GB2312"/>
          <w:szCs w:val="32"/>
          <w:lang w:bidi="ar"/>
        </w:rPr>
        <w:t>1.由省交通运输厅将安全评级行为相关信息抄告至应急管理（行业主管）部门；</w:t>
      </w:r>
    </w:p>
    <w:p>
      <w:pPr>
        <w:overflowPunct w:val="0"/>
        <w:spacing w:line="580" w:lineRule="exact"/>
        <w:ind w:firstLine="640" w:firstLineChars="200"/>
        <w:rPr>
          <w:rFonts w:hint="eastAsia" w:ascii="仿宋_GB2312"/>
          <w:szCs w:val="32"/>
          <w:lang w:bidi="ar"/>
        </w:rPr>
      </w:pPr>
      <w:r>
        <w:rPr>
          <w:rFonts w:hint="eastAsia" w:ascii="仿宋_GB2312"/>
          <w:szCs w:val="32"/>
          <w:lang w:bidi="ar"/>
        </w:rPr>
        <w:t>2.由省交通运输厅组织约谈项目负责人和安全评价机构主要负责人；</w:t>
      </w:r>
    </w:p>
    <w:p>
      <w:pPr>
        <w:overflowPunct w:val="0"/>
        <w:spacing w:line="580" w:lineRule="exact"/>
        <w:ind w:firstLine="640" w:firstLineChars="200"/>
        <w:rPr>
          <w:rFonts w:hint="eastAsia" w:ascii="仿宋_GB2312"/>
          <w:szCs w:val="32"/>
        </w:rPr>
      </w:pPr>
      <w:r>
        <w:rPr>
          <w:rFonts w:hint="eastAsia" w:ascii="仿宋_GB2312"/>
          <w:szCs w:val="32"/>
          <w:lang w:bidi="ar"/>
        </w:rPr>
        <w:t>3</w:t>
      </w:r>
      <w:bookmarkStart w:id="12" w:name="_Hlk65241798"/>
      <w:r>
        <w:rPr>
          <w:rFonts w:hint="eastAsia" w:ascii="仿宋_GB2312"/>
          <w:szCs w:val="32"/>
          <w:lang w:bidi="ar"/>
        </w:rPr>
        <w:t>.法律、法规、规章规定</w:t>
      </w:r>
      <w:r>
        <w:rPr>
          <w:rFonts w:hint="eastAsia" w:ascii="仿宋_GB2312"/>
          <w:szCs w:val="32"/>
          <w:lang w:eastAsia="zh-Hans" w:bidi="ar"/>
        </w:rPr>
        <w:t>的</w:t>
      </w:r>
      <w:r>
        <w:rPr>
          <w:rFonts w:hint="eastAsia" w:ascii="仿宋_GB2312"/>
          <w:szCs w:val="32"/>
        </w:rPr>
        <w:t>对D级安全评价机构及项目负责人应当采取的措施。</w:t>
      </w:r>
    </w:p>
    <w:p>
      <w:pPr>
        <w:overflowPunct w:val="0"/>
        <w:spacing w:line="580" w:lineRule="exact"/>
        <w:ind w:firstLine="640" w:firstLineChars="200"/>
        <w:rPr>
          <w:rFonts w:hint="eastAsia" w:ascii="仿宋_GB2312"/>
          <w:szCs w:val="32"/>
          <w:lang w:bidi="ar"/>
        </w:rPr>
      </w:pPr>
    </w:p>
    <w:bookmarkEnd w:id="12"/>
    <w:p>
      <w:pPr>
        <w:overflowPunct w:val="0"/>
        <w:snapToGrid w:val="0"/>
        <w:spacing w:line="580" w:lineRule="exact"/>
        <w:ind w:firstLine="640" w:firstLineChars="200"/>
        <w:rPr>
          <w:rFonts w:hint="eastAsia" w:ascii="仿宋_GB2312"/>
          <w:szCs w:val="32"/>
          <w:lang w:bidi="ar"/>
        </w:rPr>
      </w:pPr>
      <w:r>
        <w:rPr>
          <w:rFonts w:hint="eastAsia" w:ascii="仿宋_GB2312"/>
          <w:szCs w:val="32"/>
          <w:lang w:bidi="ar"/>
        </w:rPr>
        <w:t>附表：5-1.浙江省港口经营类企业信用评价标准</w:t>
      </w:r>
    </w:p>
    <w:p>
      <w:pPr>
        <w:overflowPunct w:val="0"/>
        <w:snapToGrid w:val="0"/>
        <w:spacing w:line="580" w:lineRule="exact"/>
        <w:ind w:firstLine="1593" w:firstLineChars="498"/>
        <w:rPr>
          <w:rFonts w:ascii="仿宋_GB2312"/>
          <w:szCs w:val="32"/>
          <w:lang w:bidi="ar"/>
        </w:rPr>
      </w:pPr>
      <w:r>
        <w:rPr>
          <w:rFonts w:hint="eastAsia" w:ascii="仿宋_GB2312"/>
          <w:szCs w:val="32"/>
          <w:lang w:bidi="ar"/>
        </w:rPr>
        <w:t>5-</w:t>
      </w:r>
      <w:r>
        <w:rPr>
          <w:rFonts w:ascii="仿宋_GB2312"/>
          <w:szCs w:val="32"/>
          <w:lang w:bidi="ar"/>
        </w:rPr>
        <w:t>2</w:t>
      </w:r>
      <w:r>
        <w:rPr>
          <w:rFonts w:hint="eastAsia" w:ascii="仿宋_GB2312"/>
          <w:szCs w:val="32"/>
          <w:lang w:bidi="ar"/>
        </w:rPr>
        <w:t>.</w:t>
      </w:r>
      <w:r>
        <w:rPr>
          <w:rFonts w:ascii="仿宋_GB2312"/>
          <w:szCs w:val="32"/>
          <w:lang w:bidi="ar"/>
        </w:rPr>
        <w:t>浙江省港口服务类信用评价标准</w:t>
      </w:r>
    </w:p>
    <w:p>
      <w:pPr>
        <w:overflowPunct w:val="0"/>
        <w:spacing w:line="580" w:lineRule="exact"/>
        <w:ind w:firstLine="1587" w:firstLineChars="496"/>
        <w:rPr>
          <w:rFonts w:hint="eastAsia" w:ascii="仿宋_GB2312"/>
          <w:szCs w:val="32"/>
          <w:lang w:bidi="ar"/>
        </w:rPr>
      </w:pPr>
      <w:r>
        <w:rPr>
          <w:rFonts w:hint="eastAsia" w:ascii="仿宋_GB2312"/>
          <w:szCs w:val="32"/>
          <w:lang w:bidi="ar"/>
        </w:rPr>
        <w:t>5-</w:t>
      </w:r>
      <w:r>
        <w:rPr>
          <w:rFonts w:ascii="仿宋_GB2312"/>
          <w:szCs w:val="32"/>
          <w:lang w:bidi="ar"/>
        </w:rPr>
        <w:t>3</w:t>
      </w:r>
      <w:r>
        <w:rPr>
          <w:rFonts w:hint="eastAsia" w:ascii="仿宋_GB2312"/>
          <w:szCs w:val="32"/>
          <w:lang w:bidi="ar"/>
        </w:rPr>
        <w:t>.</w:t>
      </w:r>
      <w:r>
        <w:rPr>
          <w:rFonts w:ascii="仿宋_GB2312"/>
          <w:szCs w:val="32"/>
          <w:lang w:bidi="ar"/>
        </w:rPr>
        <w:t>浙江省港口危险货物企业安全评价机构信用评价</w:t>
      </w:r>
    </w:p>
    <w:p>
      <w:pPr>
        <w:overflowPunct w:val="0"/>
        <w:spacing w:line="580" w:lineRule="exact"/>
        <w:ind w:firstLine="2214" w:firstLineChars="692"/>
        <w:rPr>
          <w:rFonts w:hint="eastAsia" w:ascii="仿宋_GB2312"/>
          <w:szCs w:val="32"/>
          <w:lang w:bidi="ar"/>
        </w:rPr>
      </w:pPr>
      <w:r>
        <w:rPr>
          <w:rFonts w:ascii="仿宋_GB2312"/>
          <w:szCs w:val="32"/>
          <w:lang w:bidi="ar"/>
        </w:rPr>
        <w:t>标准</w:t>
      </w:r>
    </w:p>
    <w:p>
      <w:pPr>
        <w:overflowPunct w:val="0"/>
        <w:snapToGrid w:val="0"/>
        <w:spacing w:line="590" w:lineRule="exact"/>
        <w:ind w:left="2080" w:leftChars="500" w:hanging="480" w:hangingChars="150"/>
        <w:rPr>
          <w:szCs w:val="32"/>
        </w:rPr>
      </w:pPr>
    </w:p>
    <w:p>
      <w:pPr>
        <w:overflowPunct w:val="0"/>
        <w:spacing w:line="580" w:lineRule="exact"/>
        <w:rPr>
          <w:rFonts w:hint="eastAsia" w:ascii="黑体" w:hAnsi="黑体" w:eastAsia="黑体"/>
          <w:szCs w:val="32"/>
        </w:rPr>
      </w:pPr>
      <w:r>
        <w:rPr>
          <w:rFonts w:hAnsi="黑体" w:eastAsia="黑体"/>
          <w:szCs w:val="32"/>
        </w:rPr>
        <w:br w:type="page"/>
      </w:r>
      <w:r>
        <w:rPr>
          <w:rFonts w:ascii="黑体" w:hAnsi="黑体" w:eastAsia="黑体"/>
          <w:szCs w:val="32"/>
        </w:rPr>
        <w:t>附表</w:t>
      </w:r>
      <w:r>
        <w:rPr>
          <w:rFonts w:hint="eastAsia" w:ascii="黑体" w:hAnsi="黑体" w:eastAsia="黑体"/>
          <w:szCs w:val="32"/>
        </w:rPr>
        <w:t>5-</w:t>
      </w:r>
      <w:r>
        <w:rPr>
          <w:rFonts w:ascii="黑体" w:hAnsi="黑体" w:eastAsia="黑体"/>
          <w:szCs w:val="32"/>
        </w:rPr>
        <w:t>1</w:t>
      </w:r>
    </w:p>
    <w:p>
      <w:pPr>
        <w:overflowPunct w:val="0"/>
        <w:spacing w:line="580" w:lineRule="exact"/>
        <w:rPr>
          <w:rFonts w:hAnsi="黑体" w:eastAsia="黑体"/>
          <w:szCs w:val="32"/>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浙江省港口经营类企业信用评价标准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31"/>
        <w:gridCol w:w="605"/>
        <w:gridCol w:w="895"/>
        <w:gridCol w:w="1415"/>
        <w:gridCol w:w="962"/>
        <w:gridCol w:w="3023"/>
        <w:gridCol w:w="1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631"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60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895" w:type="dxa"/>
            <w:noWrap w:val="0"/>
            <w:vAlign w:val="center"/>
          </w:tcPr>
          <w:p>
            <w:pPr>
              <w:overflowPunct w:val="0"/>
              <w:contextualSpacing/>
              <w:jc w:val="center"/>
              <w:textAlignment w:val="center"/>
              <w:rPr>
                <w:rFonts w:hint="eastAsia" w:ascii="黑体" w:hAnsi="黑体" w:eastAsia="黑体"/>
                <w:sz w:val="24"/>
                <w:szCs w:val="24"/>
                <w:lang w:bidi="ar"/>
              </w:rPr>
            </w:pPr>
            <w:r>
              <w:rPr>
                <w:rFonts w:ascii="黑体" w:hAnsi="黑体" w:eastAsia="黑体"/>
                <w:sz w:val="24"/>
                <w:szCs w:val="24"/>
                <w:lang w:bidi="ar"/>
              </w:rPr>
              <w:t>一级指</w:t>
            </w:r>
          </w:p>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标分值</w:t>
            </w:r>
          </w:p>
        </w:tc>
        <w:tc>
          <w:tcPr>
            <w:tcW w:w="141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962" w:type="dxa"/>
            <w:noWrap w:val="0"/>
            <w:vAlign w:val="center"/>
          </w:tcPr>
          <w:p>
            <w:pPr>
              <w:overflowPunct w:val="0"/>
              <w:contextualSpacing/>
              <w:jc w:val="center"/>
              <w:textAlignment w:val="center"/>
              <w:rPr>
                <w:rFonts w:hint="eastAsia" w:ascii="黑体" w:hAnsi="黑体" w:eastAsia="黑体"/>
                <w:sz w:val="24"/>
                <w:szCs w:val="24"/>
                <w:lang w:bidi="ar"/>
              </w:rPr>
            </w:pPr>
            <w:r>
              <w:rPr>
                <w:rFonts w:ascii="黑体" w:hAnsi="黑体" w:eastAsia="黑体"/>
                <w:sz w:val="24"/>
                <w:szCs w:val="24"/>
                <w:lang w:bidi="ar"/>
              </w:rPr>
              <w:t>二级指</w:t>
            </w:r>
          </w:p>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标分值</w:t>
            </w:r>
          </w:p>
        </w:tc>
        <w:tc>
          <w:tcPr>
            <w:tcW w:w="302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14"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w:t>
            </w:r>
          </w:p>
        </w:tc>
        <w:tc>
          <w:tcPr>
            <w:tcW w:w="605"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经营信用</w:t>
            </w:r>
          </w:p>
        </w:tc>
        <w:tc>
          <w:tcPr>
            <w:tcW w:w="895"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100</w:t>
            </w: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告知承诺制办理相关许可，违反承诺的</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50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以告知承诺制办理港口经营许可业务，在规定期限内未提交材料、提交材料不符合要求或者现场核查发现承诺不实的，扣50分。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2</w:t>
            </w:r>
          </w:p>
        </w:tc>
        <w:tc>
          <w:tcPr>
            <w:tcW w:w="60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信息真实性</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50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安全、防污染等检查中发现企业未如实记录相关信息，台账弄虚作假的，每次扣25分；企业向管理部门报送基础信息和各类统计数据，被发现弄虚作假的，扣50分。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w:t>
            </w:r>
          </w:p>
        </w:tc>
        <w:tc>
          <w:tcPr>
            <w:tcW w:w="605"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安全信用</w:t>
            </w:r>
          </w:p>
        </w:tc>
        <w:tc>
          <w:tcPr>
            <w:tcW w:w="895"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300</w:t>
            </w: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检查发现安全生产问题未按期整改的</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210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各级交通运输部门对安全监督检查发现问题进行复核过程中发现企业未按期整改安全生产问题的，评价周期内首次扣30分，重复出现双倍扣分，扣完为止。</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4</w:t>
            </w:r>
          </w:p>
        </w:tc>
        <w:tc>
          <w:tcPr>
            <w:tcW w:w="60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被交通运输部门安全生产通报、约谈的</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60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被安全生产通报每次扣30分，扣完为止；被安全生产约谈的扣60分。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5</w:t>
            </w:r>
          </w:p>
        </w:tc>
        <w:tc>
          <w:tcPr>
            <w:tcW w:w="60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受到非交通运输部门安全生产通报（如应急等）</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经交通运输部门认定后，扣30分。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6</w:t>
            </w:r>
          </w:p>
        </w:tc>
        <w:tc>
          <w:tcPr>
            <w:tcW w:w="605"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环保信用</w:t>
            </w:r>
          </w:p>
        </w:tc>
        <w:tc>
          <w:tcPr>
            <w:tcW w:w="895"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200</w:t>
            </w: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未按要求具备船舶污染物接收能力</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40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检查检查发现企业不具备接收能力的扣40分；设施不全、不能正常使用或第三方接收协议等材料不齐全，每次发现扣20分。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lang w:bidi="ar"/>
              </w:rPr>
            </w:pPr>
            <w:r>
              <w:rPr>
                <w:rFonts w:hint="eastAsia" w:ascii="仿宋_GB2312"/>
                <w:bCs/>
                <w:sz w:val="24"/>
                <w:szCs w:val="24"/>
                <w:lang w:bidi="ar"/>
              </w:rPr>
              <w:t>7</w:t>
            </w:r>
          </w:p>
        </w:tc>
        <w:tc>
          <w:tcPr>
            <w:tcW w:w="605" w:type="dxa"/>
            <w:vMerge w:val="restart"/>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环保信用</w:t>
            </w:r>
          </w:p>
        </w:tc>
        <w:tc>
          <w:tcPr>
            <w:tcW w:w="895" w:type="dxa"/>
            <w:vMerge w:val="restart"/>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200</w:t>
            </w: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未有效采取防污染措施（防尘抑尘、防溢油等）</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60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首次发现扣20分，重复出现双倍扣分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lang w:bidi="ar"/>
              </w:rPr>
            </w:pPr>
            <w:r>
              <w:rPr>
                <w:rFonts w:hint="eastAsia" w:ascii="仿宋_GB2312"/>
                <w:bCs/>
                <w:sz w:val="24"/>
                <w:szCs w:val="24"/>
                <w:lang w:bidi="ar"/>
              </w:rPr>
              <w:t>8</w:t>
            </w:r>
          </w:p>
        </w:tc>
        <w:tc>
          <w:tcPr>
            <w:tcW w:w="60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环保相关问题未按期整改的</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60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首次发现扣20分，重复出现双倍扣分</w:t>
            </w:r>
          </w:p>
        </w:tc>
        <w:tc>
          <w:tcPr>
            <w:tcW w:w="1314"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lang w:bidi="ar"/>
              </w:rPr>
            </w:pPr>
            <w:r>
              <w:rPr>
                <w:rFonts w:hint="eastAsia" w:ascii="仿宋_GB2312"/>
                <w:bCs/>
                <w:sz w:val="24"/>
                <w:szCs w:val="24"/>
                <w:lang w:bidi="ar"/>
              </w:rPr>
              <w:t>9</w:t>
            </w:r>
          </w:p>
        </w:tc>
        <w:tc>
          <w:tcPr>
            <w:tcW w:w="60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环保问题被设区的市以上管理部门通报或媒体曝光的</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40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扣40分。</w:t>
            </w:r>
          </w:p>
        </w:tc>
        <w:tc>
          <w:tcPr>
            <w:tcW w:w="1314"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lang w:bidi="ar"/>
              </w:rPr>
            </w:pPr>
            <w:r>
              <w:rPr>
                <w:rFonts w:hint="eastAsia" w:ascii="仿宋_GB2312"/>
                <w:bCs/>
                <w:sz w:val="24"/>
                <w:szCs w:val="24"/>
                <w:lang w:bidi="ar"/>
              </w:rPr>
              <w:t>10</w:t>
            </w:r>
          </w:p>
        </w:tc>
        <w:tc>
          <w:tcPr>
            <w:tcW w:w="605"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行政处罚</w:t>
            </w:r>
          </w:p>
        </w:tc>
        <w:tc>
          <w:tcPr>
            <w:tcW w:w="895"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300</w:t>
            </w: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被交通运输部门处以警告、罚款、没收违法所得</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100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被处以警告的每次扣25分；被处以罚款、没收违法所得的每次扣50分。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11</w:t>
            </w:r>
          </w:p>
        </w:tc>
        <w:tc>
          <w:tcPr>
            <w:tcW w:w="60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415"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被交通运输部门责令停产停业整顿</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200</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因违法违规行为被责令停业整顿的，扣200分。</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3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12</w:t>
            </w:r>
          </w:p>
        </w:tc>
        <w:tc>
          <w:tcPr>
            <w:tcW w:w="605"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公共信用</w:t>
            </w:r>
          </w:p>
        </w:tc>
        <w:tc>
          <w:tcPr>
            <w:tcW w:w="895"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100</w:t>
            </w:r>
          </w:p>
        </w:tc>
        <w:tc>
          <w:tcPr>
            <w:tcW w:w="1415"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w:t>
            </w:r>
          </w:p>
        </w:tc>
        <w:tc>
          <w:tcPr>
            <w:tcW w:w="962"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w:t>
            </w:r>
          </w:p>
        </w:tc>
        <w:tc>
          <w:tcPr>
            <w:tcW w:w="3023"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根据省信用办提供的企业公共信用分值按比例进行换算。</w:t>
            </w:r>
          </w:p>
        </w:tc>
        <w:tc>
          <w:tcPr>
            <w:tcW w:w="1314"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31" w:type="dxa"/>
            <w:gridSpan w:val="6"/>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val="0"/>
              <w:autoSpaceDE w:val="0"/>
              <w:contextualSpacing/>
              <w:rPr>
                <w:rFonts w:hint="eastAsia" w:ascii="仿宋_GB2312"/>
                <w:sz w:val="24"/>
                <w:szCs w:val="24"/>
              </w:rPr>
            </w:pPr>
            <w:r>
              <w:rPr>
                <w:rFonts w:hint="eastAsia" w:ascii="仿宋_GB2312"/>
                <w:bCs/>
                <w:sz w:val="24"/>
                <w:szCs w:val="24"/>
                <w:lang w:val="zh-CN" w:bidi="ar"/>
              </w:rPr>
              <w:t>凡发生《浙江省港口经营及其相关业务经营者信用管理实施细则》第二部分（二）中严重不良信息行为之一的，本年度信用分扣500分。</w:t>
            </w:r>
          </w:p>
        </w:tc>
        <w:tc>
          <w:tcPr>
            <w:tcW w:w="1314"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w:t>
            </w:r>
            <w:r>
              <w:rPr>
                <w:rFonts w:hint="eastAsia" w:ascii="仿宋_GB2312"/>
                <w:sz w:val="24"/>
                <w:szCs w:val="24"/>
                <w:lang w:bidi="ar"/>
              </w:rPr>
              <w:t>手工录入</w:t>
            </w:r>
          </w:p>
        </w:tc>
      </w:tr>
    </w:tbl>
    <w:p>
      <w:pPr>
        <w:overflowPunct w:val="0"/>
        <w:spacing w:line="580" w:lineRule="exact"/>
        <w:rPr>
          <w:rFonts w:ascii="黑体" w:hAnsi="黑体" w:eastAsia="黑体"/>
          <w:szCs w:val="32"/>
        </w:rPr>
      </w:pPr>
      <w:r>
        <w:rPr>
          <w:szCs w:val="32"/>
          <w:lang w:bidi="ar"/>
        </w:rPr>
        <w:br w:type="page"/>
      </w:r>
      <w:r>
        <w:rPr>
          <w:rFonts w:ascii="黑体" w:hAnsi="黑体" w:eastAsia="黑体"/>
          <w:szCs w:val="32"/>
        </w:rPr>
        <w:t>附表</w:t>
      </w:r>
      <w:r>
        <w:rPr>
          <w:rFonts w:hint="eastAsia" w:ascii="黑体" w:hAnsi="黑体" w:eastAsia="黑体"/>
          <w:szCs w:val="32"/>
        </w:rPr>
        <w:t>5-</w:t>
      </w:r>
      <w:r>
        <w:rPr>
          <w:rFonts w:ascii="黑体" w:hAnsi="黑体" w:eastAsia="黑体"/>
          <w:szCs w:val="32"/>
        </w:rPr>
        <w:t>2</w:t>
      </w:r>
    </w:p>
    <w:p>
      <w:pPr>
        <w:overflowPunct w:val="0"/>
        <w:spacing w:line="580" w:lineRule="exact"/>
        <w:jc w:val="center"/>
        <w:rPr>
          <w:rFonts w:hint="eastAsia" w:ascii="方正小标宋简体" w:eastAsia="方正小标宋简体"/>
          <w:sz w:val="44"/>
          <w:szCs w:val="44"/>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浙江省港口服务类信用评价标准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91"/>
        <w:gridCol w:w="738"/>
        <w:gridCol w:w="938"/>
        <w:gridCol w:w="1300"/>
        <w:gridCol w:w="900"/>
        <w:gridCol w:w="2937"/>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691"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73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938"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30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900"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2937"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41"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848"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w:t>
            </w:r>
          </w:p>
        </w:tc>
        <w:tc>
          <w:tcPr>
            <w:tcW w:w="738"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经营信用</w:t>
            </w:r>
          </w:p>
        </w:tc>
        <w:tc>
          <w:tcPr>
            <w:tcW w:w="938"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100</w:t>
            </w:r>
          </w:p>
        </w:tc>
        <w:tc>
          <w:tcPr>
            <w:tcW w:w="1300"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告知承诺制办理相关许可，违反承诺的</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50</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以告知承诺制办理港口经营许可业务，在规定期限内未提交材料、提交材料不符合要求或者现场核查发现承诺不实的，扣50分。</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170"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2</w:t>
            </w:r>
          </w:p>
        </w:tc>
        <w:tc>
          <w:tcPr>
            <w:tcW w:w="738" w:type="dxa"/>
            <w:vMerge w:val="continue"/>
            <w:noWrap w:val="0"/>
            <w:vAlign w:val="center"/>
          </w:tcPr>
          <w:p>
            <w:pPr>
              <w:overflowPunct w:val="0"/>
              <w:contextualSpacing/>
              <w:jc w:val="center"/>
              <w:rPr>
                <w:rFonts w:hint="eastAsia" w:ascii="仿宋_GB2312"/>
                <w:sz w:val="24"/>
                <w:szCs w:val="24"/>
              </w:rPr>
            </w:pPr>
          </w:p>
        </w:tc>
        <w:tc>
          <w:tcPr>
            <w:tcW w:w="938" w:type="dxa"/>
            <w:vMerge w:val="continue"/>
            <w:noWrap w:val="0"/>
            <w:vAlign w:val="center"/>
          </w:tcPr>
          <w:p>
            <w:pPr>
              <w:overflowPunct w:val="0"/>
              <w:contextualSpacing/>
              <w:jc w:val="center"/>
              <w:rPr>
                <w:rFonts w:hint="eastAsia" w:ascii="仿宋_GB2312"/>
                <w:sz w:val="24"/>
                <w:szCs w:val="24"/>
              </w:rPr>
            </w:pPr>
          </w:p>
        </w:tc>
        <w:tc>
          <w:tcPr>
            <w:tcW w:w="1300"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信息真实性</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50</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检查过程中发现企业未如实记录相关信息，台账弄虚作假的，每次扣25分；企业向管理部门报送基础信息和各类统计数据，被发现弄虚作假的，扣50分。</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12"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w:t>
            </w:r>
          </w:p>
        </w:tc>
        <w:tc>
          <w:tcPr>
            <w:tcW w:w="738"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安全信用</w:t>
            </w:r>
          </w:p>
        </w:tc>
        <w:tc>
          <w:tcPr>
            <w:tcW w:w="938"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300</w:t>
            </w:r>
          </w:p>
        </w:tc>
        <w:tc>
          <w:tcPr>
            <w:tcW w:w="1300"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检查发现安全生产问题未按期整改的</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210</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各级交通运输部门对安全监督检查发现问题进行复核过程中发现企业未按期整改安全生产问题的，评价周期内首次扣30分，重复出现双倍扣分，扣完为止。</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611"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4</w:t>
            </w:r>
          </w:p>
        </w:tc>
        <w:tc>
          <w:tcPr>
            <w:tcW w:w="738" w:type="dxa"/>
            <w:vMerge w:val="continue"/>
            <w:noWrap w:val="0"/>
            <w:vAlign w:val="center"/>
          </w:tcPr>
          <w:p>
            <w:pPr>
              <w:overflowPunct w:val="0"/>
              <w:contextualSpacing/>
              <w:jc w:val="center"/>
              <w:rPr>
                <w:rFonts w:hint="eastAsia" w:ascii="仿宋_GB2312"/>
                <w:sz w:val="24"/>
                <w:szCs w:val="24"/>
              </w:rPr>
            </w:pPr>
          </w:p>
        </w:tc>
        <w:tc>
          <w:tcPr>
            <w:tcW w:w="938" w:type="dxa"/>
            <w:vMerge w:val="continue"/>
            <w:noWrap w:val="0"/>
            <w:vAlign w:val="center"/>
          </w:tcPr>
          <w:p>
            <w:pPr>
              <w:overflowPunct w:val="0"/>
              <w:contextualSpacing/>
              <w:jc w:val="center"/>
              <w:rPr>
                <w:rFonts w:hint="eastAsia" w:ascii="仿宋_GB2312"/>
                <w:sz w:val="24"/>
                <w:szCs w:val="24"/>
              </w:rPr>
            </w:pPr>
          </w:p>
        </w:tc>
        <w:tc>
          <w:tcPr>
            <w:tcW w:w="1300"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被交通运输部门安全生产通报、约谈的</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60</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被安全生产通报每次扣30分，扣完为止；被安全生产约谈的扣60分。</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821"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5</w:t>
            </w:r>
          </w:p>
        </w:tc>
        <w:tc>
          <w:tcPr>
            <w:tcW w:w="738" w:type="dxa"/>
            <w:vMerge w:val="continue"/>
            <w:noWrap w:val="0"/>
            <w:vAlign w:val="center"/>
          </w:tcPr>
          <w:p>
            <w:pPr>
              <w:overflowPunct w:val="0"/>
              <w:contextualSpacing/>
              <w:jc w:val="center"/>
              <w:rPr>
                <w:rFonts w:hint="eastAsia" w:ascii="仿宋_GB2312"/>
                <w:sz w:val="24"/>
                <w:szCs w:val="24"/>
              </w:rPr>
            </w:pPr>
          </w:p>
        </w:tc>
        <w:tc>
          <w:tcPr>
            <w:tcW w:w="938" w:type="dxa"/>
            <w:vMerge w:val="continue"/>
            <w:noWrap w:val="0"/>
            <w:vAlign w:val="center"/>
          </w:tcPr>
          <w:p>
            <w:pPr>
              <w:overflowPunct w:val="0"/>
              <w:contextualSpacing/>
              <w:jc w:val="center"/>
              <w:rPr>
                <w:rFonts w:hint="eastAsia" w:ascii="仿宋_GB2312"/>
                <w:sz w:val="24"/>
                <w:szCs w:val="24"/>
              </w:rPr>
            </w:pPr>
          </w:p>
        </w:tc>
        <w:tc>
          <w:tcPr>
            <w:tcW w:w="1300"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受到非交通运输部门安全生产通报（如应急等）</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30</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经交通运输部门认定后，扣30分。</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6</w:t>
            </w:r>
          </w:p>
        </w:tc>
        <w:tc>
          <w:tcPr>
            <w:tcW w:w="738"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行政处罚</w:t>
            </w:r>
          </w:p>
        </w:tc>
        <w:tc>
          <w:tcPr>
            <w:tcW w:w="938" w:type="dxa"/>
            <w:vMerge w:val="restart"/>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500</w:t>
            </w:r>
          </w:p>
        </w:tc>
        <w:tc>
          <w:tcPr>
            <w:tcW w:w="1300"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被交通运输部门处以警告、罚款、没收违法所得</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300</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被处以警告的每次扣25分；被处以罚款、没收违法所得的每次扣50分，扣完为止。</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7</w:t>
            </w:r>
          </w:p>
        </w:tc>
        <w:tc>
          <w:tcPr>
            <w:tcW w:w="738" w:type="dxa"/>
            <w:vMerge w:val="continue"/>
            <w:noWrap w:val="0"/>
            <w:vAlign w:val="center"/>
          </w:tcPr>
          <w:p>
            <w:pPr>
              <w:overflowPunct w:val="0"/>
              <w:contextualSpacing/>
              <w:jc w:val="center"/>
              <w:rPr>
                <w:rFonts w:hint="eastAsia" w:ascii="仿宋_GB2312"/>
                <w:sz w:val="24"/>
                <w:szCs w:val="24"/>
              </w:rPr>
            </w:pPr>
          </w:p>
        </w:tc>
        <w:tc>
          <w:tcPr>
            <w:tcW w:w="938" w:type="dxa"/>
            <w:vMerge w:val="continue"/>
            <w:noWrap w:val="0"/>
            <w:vAlign w:val="center"/>
          </w:tcPr>
          <w:p>
            <w:pPr>
              <w:overflowPunct w:val="0"/>
              <w:contextualSpacing/>
              <w:jc w:val="center"/>
              <w:rPr>
                <w:rFonts w:hint="eastAsia" w:ascii="仿宋_GB2312"/>
                <w:sz w:val="24"/>
                <w:szCs w:val="24"/>
              </w:rPr>
            </w:pPr>
          </w:p>
        </w:tc>
        <w:tc>
          <w:tcPr>
            <w:tcW w:w="1300"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被交通运输部门责令停产停业整顿</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200</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因违法违规行为被责令停业整顿的，扣200分。</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9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8</w:t>
            </w:r>
          </w:p>
        </w:tc>
        <w:tc>
          <w:tcPr>
            <w:tcW w:w="738"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公共信用</w:t>
            </w:r>
          </w:p>
        </w:tc>
        <w:tc>
          <w:tcPr>
            <w:tcW w:w="938"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100</w:t>
            </w:r>
          </w:p>
        </w:tc>
        <w:tc>
          <w:tcPr>
            <w:tcW w:w="13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w:t>
            </w:r>
          </w:p>
        </w:tc>
        <w:tc>
          <w:tcPr>
            <w:tcW w:w="900"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w:t>
            </w:r>
          </w:p>
        </w:tc>
        <w:tc>
          <w:tcPr>
            <w:tcW w:w="2937" w:type="dxa"/>
            <w:noWrap w:val="0"/>
            <w:vAlign w:val="center"/>
          </w:tcPr>
          <w:p>
            <w:pPr>
              <w:overflowPunct w:val="0"/>
              <w:contextualSpacing/>
              <w:rPr>
                <w:rFonts w:hint="eastAsia" w:ascii="仿宋_GB2312"/>
                <w:bCs/>
                <w:sz w:val="24"/>
                <w:szCs w:val="24"/>
              </w:rPr>
            </w:pPr>
            <w:r>
              <w:rPr>
                <w:rFonts w:hint="eastAsia" w:ascii="仿宋_GB2312"/>
                <w:bCs/>
                <w:sz w:val="24"/>
                <w:szCs w:val="24"/>
                <w:lang w:bidi="ar"/>
              </w:rPr>
              <w:t>根据省信用办提供的企业公共信用分值按比例进行换算。</w:t>
            </w:r>
          </w:p>
        </w:tc>
        <w:tc>
          <w:tcPr>
            <w:tcW w:w="1341" w:type="dxa"/>
            <w:noWrap w:val="0"/>
            <w:vAlign w:val="center"/>
          </w:tcPr>
          <w:p>
            <w:pPr>
              <w:overflowPunct w:val="0"/>
              <w:contextualSpacing/>
              <w:jc w:val="center"/>
              <w:rPr>
                <w:rFonts w:hint="eastAsia" w:ascii="仿宋_GB2312"/>
                <w:bCs/>
                <w:sz w:val="24"/>
                <w:szCs w:val="24"/>
              </w:rPr>
            </w:pPr>
            <w:r>
              <w:rPr>
                <w:rFonts w:hint="eastAsia" w:ascii="仿宋_GB2312"/>
                <w:bCs/>
                <w:sz w:val="24"/>
                <w:szCs w:val="24"/>
                <w:lang w:bidi="ar"/>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04" w:type="dxa"/>
            <w:gridSpan w:val="6"/>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val="0"/>
              <w:autoSpaceDE w:val="0"/>
              <w:contextualSpacing/>
              <w:rPr>
                <w:rFonts w:hint="eastAsia" w:ascii="仿宋_GB2312"/>
                <w:sz w:val="24"/>
                <w:szCs w:val="24"/>
              </w:rPr>
            </w:pPr>
            <w:r>
              <w:rPr>
                <w:rFonts w:hint="eastAsia" w:ascii="仿宋_GB2312"/>
                <w:bCs/>
                <w:sz w:val="24"/>
                <w:szCs w:val="24"/>
                <w:lang w:val="zh-CN" w:bidi="ar"/>
              </w:rPr>
              <w:t>凡发生《浙江省港口经营及其相关业务经营者信用管理实施细则》第二部分（二）中严重不良信息行为之一的，本年度信用分扣500分。</w:t>
            </w:r>
          </w:p>
        </w:tc>
        <w:tc>
          <w:tcPr>
            <w:tcW w:w="1341"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w:t>
            </w:r>
            <w:r>
              <w:rPr>
                <w:rFonts w:hint="eastAsia" w:ascii="仿宋_GB2312"/>
                <w:sz w:val="24"/>
                <w:szCs w:val="24"/>
                <w:lang w:bidi="ar"/>
              </w:rPr>
              <w:t>手工录入</w:t>
            </w:r>
          </w:p>
        </w:tc>
      </w:tr>
    </w:tbl>
    <w:p>
      <w:pPr>
        <w:overflowPunct w:val="0"/>
        <w:spacing w:line="590" w:lineRule="exact"/>
        <w:ind w:firstLine="640" w:firstLineChars="200"/>
        <w:rPr>
          <w:szCs w:val="32"/>
        </w:rPr>
      </w:pPr>
    </w:p>
    <w:p>
      <w:pPr>
        <w:overflowPunct w:val="0"/>
        <w:spacing w:line="590" w:lineRule="exact"/>
        <w:ind w:firstLine="640" w:firstLineChars="200"/>
        <w:rPr>
          <w:bCs/>
          <w:smallCaps/>
          <w:szCs w:val="32"/>
        </w:rPr>
      </w:pPr>
    </w:p>
    <w:p>
      <w:pPr>
        <w:overflowPunct w:val="0"/>
        <w:spacing w:line="580" w:lineRule="exact"/>
        <w:rPr>
          <w:rFonts w:hint="eastAsia" w:ascii="黑体" w:hAnsi="黑体" w:eastAsia="黑体"/>
          <w:szCs w:val="32"/>
        </w:rPr>
      </w:pPr>
      <w:r>
        <w:rPr>
          <w:bCs/>
          <w:smallCaps/>
          <w:szCs w:val="32"/>
          <w:lang w:bidi="ar"/>
        </w:rPr>
        <w:br w:type="page"/>
      </w:r>
      <w:r>
        <w:rPr>
          <w:rFonts w:ascii="黑体" w:hAnsi="黑体" w:eastAsia="黑体"/>
          <w:szCs w:val="32"/>
        </w:rPr>
        <w:t>附表</w:t>
      </w:r>
      <w:r>
        <w:rPr>
          <w:rFonts w:hint="eastAsia" w:ascii="黑体" w:hAnsi="黑体" w:eastAsia="黑体"/>
          <w:szCs w:val="32"/>
        </w:rPr>
        <w:t>5-</w:t>
      </w:r>
      <w:r>
        <w:rPr>
          <w:rFonts w:ascii="黑体" w:hAnsi="黑体" w:eastAsia="黑体"/>
          <w:szCs w:val="32"/>
        </w:rPr>
        <w:t>3</w:t>
      </w:r>
    </w:p>
    <w:p>
      <w:pPr>
        <w:overflowPunct w:val="0"/>
        <w:spacing w:line="580" w:lineRule="exact"/>
        <w:rPr>
          <w:rFonts w:hAnsi="黑体" w:eastAsia="黑体"/>
          <w:szCs w:val="32"/>
        </w:rPr>
      </w:pP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浙江省港口危险货物企业安全评价</w:t>
      </w:r>
    </w:p>
    <w:p>
      <w:pPr>
        <w:overflowPunct w:val="0"/>
        <w:spacing w:line="580" w:lineRule="exact"/>
        <w:jc w:val="center"/>
        <w:rPr>
          <w:rFonts w:hint="eastAsia" w:ascii="方正小标宋简体" w:eastAsia="方正小标宋简体"/>
          <w:sz w:val="44"/>
          <w:szCs w:val="44"/>
        </w:rPr>
      </w:pPr>
      <w:r>
        <w:rPr>
          <w:rFonts w:ascii="方正小标宋简体" w:eastAsia="方正小标宋简体"/>
          <w:sz w:val="44"/>
          <w:szCs w:val="44"/>
        </w:rPr>
        <w:t>机构信用评价标准</w:t>
      </w:r>
    </w:p>
    <w:p>
      <w:pPr>
        <w:overflowPunct w:val="0"/>
        <w:spacing w:line="580" w:lineRule="exact"/>
        <w:jc w:val="center"/>
        <w:rPr>
          <w:rFonts w:ascii="方正小标宋简体" w:eastAsia="方正小标宋简体"/>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29"/>
        <w:gridCol w:w="745"/>
        <w:gridCol w:w="895"/>
        <w:gridCol w:w="1132"/>
        <w:gridCol w:w="869"/>
        <w:gridCol w:w="3243"/>
        <w:gridCol w:w="13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62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序号</w:t>
            </w:r>
          </w:p>
        </w:tc>
        <w:tc>
          <w:tcPr>
            <w:tcW w:w="74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w:t>
            </w:r>
          </w:p>
        </w:tc>
        <w:tc>
          <w:tcPr>
            <w:tcW w:w="895"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一级指标分值</w:t>
            </w:r>
          </w:p>
        </w:tc>
        <w:tc>
          <w:tcPr>
            <w:tcW w:w="113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w:t>
            </w:r>
          </w:p>
        </w:tc>
        <w:tc>
          <w:tcPr>
            <w:tcW w:w="869"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二级指标分值</w:t>
            </w:r>
          </w:p>
        </w:tc>
        <w:tc>
          <w:tcPr>
            <w:tcW w:w="3243"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评分标准</w:t>
            </w:r>
          </w:p>
        </w:tc>
        <w:tc>
          <w:tcPr>
            <w:tcW w:w="1332" w:type="dxa"/>
            <w:noWrap w:val="0"/>
            <w:vAlign w:val="center"/>
          </w:tcPr>
          <w:p>
            <w:pPr>
              <w:overflowPunct w:val="0"/>
              <w:contextualSpacing/>
              <w:jc w:val="center"/>
              <w:textAlignment w:val="center"/>
              <w:rPr>
                <w:rFonts w:ascii="黑体" w:hAnsi="黑体" w:eastAsia="黑体"/>
                <w:sz w:val="24"/>
                <w:szCs w:val="24"/>
                <w:lang w:bidi="ar"/>
              </w:rPr>
            </w:pPr>
            <w:r>
              <w:rPr>
                <w:rFonts w:ascii="黑体" w:hAnsi="黑体" w:eastAsia="黑体"/>
                <w:sz w:val="24"/>
                <w:szCs w:val="24"/>
                <w:lang w:bidi="ar"/>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1</w:t>
            </w:r>
          </w:p>
        </w:tc>
        <w:tc>
          <w:tcPr>
            <w:tcW w:w="745"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预评价从业信用</w:t>
            </w:r>
          </w:p>
        </w:tc>
        <w:tc>
          <w:tcPr>
            <w:tcW w:w="895"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500</w:t>
            </w:r>
          </w:p>
        </w:tc>
        <w:tc>
          <w:tcPr>
            <w:tcW w:w="1132"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bidi="ar"/>
              </w:rPr>
              <w:t>安全条件审查专家评审分数</w:t>
            </w:r>
          </w:p>
        </w:tc>
        <w:tc>
          <w:tcPr>
            <w:tcW w:w="8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250</w:t>
            </w:r>
          </w:p>
        </w:tc>
        <w:tc>
          <w:tcPr>
            <w:tcW w:w="3243" w:type="dxa"/>
            <w:noWrap w:val="0"/>
            <w:tcMar>
              <w:top w:w="28" w:type="dxa"/>
              <w:bottom w:w="28" w:type="dxa"/>
            </w:tcMar>
            <w:vAlign w:val="center"/>
          </w:tcPr>
          <w:p>
            <w:pPr>
              <w:overflowPunct w:val="0"/>
              <w:spacing w:line="290" w:lineRule="exact"/>
              <w:contextualSpacing/>
              <w:rPr>
                <w:rFonts w:hint="eastAsia" w:ascii="仿宋_GB2312"/>
                <w:sz w:val="24"/>
                <w:szCs w:val="24"/>
              </w:rPr>
            </w:pPr>
            <w:r>
              <w:rPr>
                <w:rFonts w:hint="eastAsia" w:ascii="仿宋_GB2312"/>
                <w:sz w:val="24"/>
                <w:szCs w:val="24"/>
                <w:lang w:bidi="ar"/>
              </w:rPr>
              <w:t>安全条件审查许可过程中，对评价机构及项目负责人出具的预评价报告进行专家审查，各方对报告质量进行评分，取评价周期内本企业所有报告的分数计算平均得分，并按比例折算得出。</w:t>
            </w:r>
          </w:p>
        </w:tc>
        <w:tc>
          <w:tcPr>
            <w:tcW w:w="1332"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2</w:t>
            </w:r>
          </w:p>
        </w:tc>
        <w:tc>
          <w:tcPr>
            <w:tcW w:w="74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89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1132"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bidi="ar"/>
              </w:rPr>
              <w:t>专家评审表决情况</w:t>
            </w:r>
          </w:p>
        </w:tc>
        <w:tc>
          <w:tcPr>
            <w:tcW w:w="8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200</w:t>
            </w:r>
          </w:p>
        </w:tc>
        <w:tc>
          <w:tcPr>
            <w:tcW w:w="3243" w:type="dxa"/>
            <w:noWrap w:val="0"/>
            <w:tcMar>
              <w:top w:w="28" w:type="dxa"/>
              <w:bottom w:w="28" w:type="dxa"/>
            </w:tcMar>
            <w:vAlign w:val="center"/>
          </w:tcPr>
          <w:p>
            <w:pPr>
              <w:overflowPunct w:val="0"/>
              <w:spacing w:line="290" w:lineRule="exact"/>
              <w:contextualSpacing/>
              <w:rPr>
                <w:rFonts w:hint="eastAsia" w:ascii="仿宋_GB2312"/>
                <w:sz w:val="24"/>
                <w:szCs w:val="24"/>
              </w:rPr>
            </w:pPr>
            <w:r>
              <w:rPr>
                <w:rFonts w:hint="eastAsia" w:ascii="仿宋_GB2312"/>
                <w:sz w:val="24"/>
                <w:szCs w:val="24"/>
                <w:lang w:bidi="ar"/>
              </w:rPr>
              <w:t>评价机构及项目负责人出具的预评价报告，经专家评审无记名投票结果为“不通过”的，每次扣100分。</w:t>
            </w:r>
          </w:p>
        </w:tc>
        <w:tc>
          <w:tcPr>
            <w:tcW w:w="1332"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3</w:t>
            </w:r>
          </w:p>
        </w:tc>
        <w:tc>
          <w:tcPr>
            <w:tcW w:w="74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89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1132" w:type="dxa"/>
            <w:noWrap w:val="0"/>
            <w:tcMar>
              <w:top w:w="28" w:type="dxa"/>
              <w:bottom w:w="28" w:type="dxa"/>
            </w:tcMar>
            <w:vAlign w:val="center"/>
          </w:tcPr>
          <w:p>
            <w:pPr>
              <w:tabs>
                <w:tab w:val="left" w:pos="438"/>
              </w:tabs>
              <w:overflowPunct w:val="0"/>
              <w:contextualSpacing/>
              <w:rPr>
                <w:rFonts w:hint="eastAsia" w:ascii="仿宋_GB2312"/>
                <w:sz w:val="24"/>
                <w:szCs w:val="24"/>
              </w:rPr>
            </w:pPr>
            <w:r>
              <w:rPr>
                <w:rFonts w:hint="eastAsia" w:ascii="仿宋_GB2312"/>
                <w:sz w:val="24"/>
                <w:szCs w:val="24"/>
                <w:lang w:bidi="ar"/>
              </w:rPr>
              <w:t>安全预评价报告修改情况</w:t>
            </w:r>
          </w:p>
        </w:tc>
        <w:tc>
          <w:tcPr>
            <w:tcW w:w="8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50</w:t>
            </w:r>
          </w:p>
        </w:tc>
        <w:tc>
          <w:tcPr>
            <w:tcW w:w="3243" w:type="dxa"/>
            <w:noWrap w:val="0"/>
            <w:tcMar>
              <w:top w:w="28" w:type="dxa"/>
              <w:bottom w:w="28" w:type="dxa"/>
            </w:tcMar>
            <w:vAlign w:val="center"/>
          </w:tcPr>
          <w:p>
            <w:pPr>
              <w:overflowPunct w:val="0"/>
              <w:spacing w:line="290" w:lineRule="exact"/>
              <w:contextualSpacing/>
              <w:rPr>
                <w:rFonts w:hint="eastAsia" w:ascii="仿宋_GB2312"/>
                <w:sz w:val="24"/>
                <w:szCs w:val="24"/>
              </w:rPr>
            </w:pPr>
            <w:r>
              <w:rPr>
                <w:rFonts w:hint="eastAsia" w:ascii="仿宋_GB2312"/>
                <w:sz w:val="24"/>
                <w:szCs w:val="24"/>
                <w:lang w:bidi="ar"/>
              </w:rPr>
              <w:t>专家审查后，评价机构及项目负责人未按期根据专家意见完成报告修改的，每次扣25分；未按专家意见进行修改且无未采纳意见说明的，每次发现扣25分。</w:t>
            </w:r>
          </w:p>
        </w:tc>
        <w:tc>
          <w:tcPr>
            <w:tcW w:w="1332"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4</w:t>
            </w:r>
          </w:p>
        </w:tc>
        <w:tc>
          <w:tcPr>
            <w:tcW w:w="745"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验收、危货作业评价从业信用</w:t>
            </w:r>
          </w:p>
        </w:tc>
        <w:tc>
          <w:tcPr>
            <w:tcW w:w="895" w:type="dxa"/>
            <w:vMerge w:val="restart"/>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400</w:t>
            </w:r>
          </w:p>
        </w:tc>
        <w:tc>
          <w:tcPr>
            <w:tcW w:w="1132"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bidi="ar"/>
              </w:rPr>
              <w:t>评价报告文本格式和内容规范性</w:t>
            </w:r>
          </w:p>
        </w:tc>
        <w:tc>
          <w:tcPr>
            <w:tcW w:w="8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50</w:t>
            </w:r>
          </w:p>
        </w:tc>
        <w:tc>
          <w:tcPr>
            <w:tcW w:w="3243" w:type="dxa"/>
            <w:noWrap w:val="0"/>
            <w:tcMar>
              <w:top w:w="28" w:type="dxa"/>
              <w:bottom w:w="28" w:type="dxa"/>
            </w:tcMar>
            <w:vAlign w:val="center"/>
          </w:tcPr>
          <w:p>
            <w:pPr>
              <w:overflowPunct w:val="0"/>
              <w:spacing w:line="290" w:lineRule="exact"/>
              <w:contextualSpacing/>
              <w:rPr>
                <w:rFonts w:hint="eastAsia" w:ascii="仿宋_GB2312"/>
                <w:sz w:val="24"/>
                <w:szCs w:val="24"/>
              </w:rPr>
            </w:pPr>
            <w:r>
              <w:rPr>
                <w:rFonts w:hint="eastAsia" w:ascii="仿宋_GB2312"/>
                <w:sz w:val="24"/>
                <w:szCs w:val="24"/>
                <w:lang w:bidi="ar"/>
              </w:rPr>
              <w:t>评价机构及项目负责人在评价报告中报告格式不规范、有过多错别字、印刷质量有明显缺陷等，每次扣10分，扣完为止。</w:t>
            </w:r>
          </w:p>
        </w:tc>
        <w:tc>
          <w:tcPr>
            <w:tcW w:w="1332"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5</w:t>
            </w:r>
          </w:p>
        </w:tc>
        <w:tc>
          <w:tcPr>
            <w:tcW w:w="74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895" w:type="dxa"/>
            <w:vMerge w:val="continue"/>
            <w:noWrap w:val="0"/>
            <w:tcMar>
              <w:top w:w="28" w:type="dxa"/>
              <w:bottom w:w="28" w:type="dxa"/>
            </w:tcMar>
            <w:vAlign w:val="center"/>
          </w:tcPr>
          <w:p>
            <w:pPr>
              <w:overflowPunct w:val="0"/>
              <w:contextualSpacing/>
              <w:jc w:val="center"/>
              <w:rPr>
                <w:rFonts w:hint="eastAsia" w:ascii="仿宋_GB2312"/>
                <w:sz w:val="24"/>
                <w:szCs w:val="24"/>
              </w:rPr>
            </w:pPr>
          </w:p>
        </w:tc>
        <w:tc>
          <w:tcPr>
            <w:tcW w:w="1132" w:type="dxa"/>
            <w:noWrap w:val="0"/>
            <w:tcMar>
              <w:top w:w="28" w:type="dxa"/>
              <w:bottom w:w="28" w:type="dxa"/>
            </w:tcMar>
            <w:vAlign w:val="center"/>
          </w:tcPr>
          <w:p>
            <w:pPr>
              <w:overflowPunct w:val="0"/>
              <w:contextualSpacing/>
              <w:rPr>
                <w:rFonts w:hint="eastAsia" w:ascii="仿宋_GB2312"/>
                <w:sz w:val="24"/>
                <w:szCs w:val="24"/>
              </w:rPr>
            </w:pPr>
            <w:r>
              <w:rPr>
                <w:rFonts w:hint="eastAsia" w:ascii="仿宋_GB2312"/>
                <w:sz w:val="24"/>
                <w:szCs w:val="24"/>
                <w:lang w:bidi="ar"/>
              </w:rPr>
              <w:t>评价依据全面准确性</w:t>
            </w:r>
          </w:p>
        </w:tc>
        <w:tc>
          <w:tcPr>
            <w:tcW w:w="869"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sz w:val="24"/>
                <w:szCs w:val="24"/>
                <w:lang w:bidi="ar"/>
              </w:rPr>
              <w:t>50</w:t>
            </w:r>
          </w:p>
        </w:tc>
        <w:tc>
          <w:tcPr>
            <w:tcW w:w="3243" w:type="dxa"/>
            <w:noWrap w:val="0"/>
            <w:tcMar>
              <w:top w:w="28" w:type="dxa"/>
              <w:bottom w:w="28" w:type="dxa"/>
            </w:tcMar>
            <w:vAlign w:val="center"/>
          </w:tcPr>
          <w:p>
            <w:pPr>
              <w:overflowPunct w:val="0"/>
              <w:spacing w:line="290" w:lineRule="exact"/>
              <w:contextualSpacing/>
              <w:rPr>
                <w:rFonts w:hint="eastAsia" w:ascii="仿宋_GB2312"/>
                <w:sz w:val="24"/>
                <w:szCs w:val="24"/>
              </w:rPr>
            </w:pPr>
            <w:r>
              <w:rPr>
                <w:rFonts w:hint="eastAsia" w:ascii="仿宋_GB2312"/>
                <w:sz w:val="24"/>
                <w:szCs w:val="24"/>
                <w:lang w:bidi="ar"/>
              </w:rPr>
              <w:t>评价机构及项目负责人在评价报告中引用法律法规、标准规范存在明显错误或者未引用评价主规范等，每次扣10分，扣完为止。</w:t>
            </w:r>
          </w:p>
        </w:tc>
        <w:tc>
          <w:tcPr>
            <w:tcW w:w="1332" w:type="dxa"/>
            <w:noWrap w:val="0"/>
            <w:tcMar>
              <w:top w:w="28" w:type="dxa"/>
              <w:bottom w:w="28" w:type="dxa"/>
            </w:tcMar>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6</w:t>
            </w:r>
          </w:p>
        </w:tc>
        <w:tc>
          <w:tcPr>
            <w:tcW w:w="74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132" w:type="dxa"/>
            <w:noWrap w:val="0"/>
            <w:vAlign w:val="center"/>
          </w:tcPr>
          <w:p>
            <w:pPr>
              <w:overflowPunct w:val="0"/>
              <w:contextualSpacing/>
              <w:rPr>
                <w:rFonts w:hint="eastAsia" w:ascii="仿宋_GB2312"/>
                <w:sz w:val="24"/>
                <w:szCs w:val="24"/>
              </w:rPr>
            </w:pPr>
            <w:r>
              <w:rPr>
                <w:rFonts w:hint="eastAsia" w:ascii="仿宋_GB2312"/>
                <w:sz w:val="24"/>
                <w:szCs w:val="24"/>
                <w:lang w:bidi="ar"/>
              </w:rPr>
              <w:t>评价内容、范围规范性</w:t>
            </w:r>
          </w:p>
        </w:tc>
        <w:tc>
          <w:tcPr>
            <w:tcW w:w="86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50</w:t>
            </w:r>
          </w:p>
        </w:tc>
        <w:tc>
          <w:tcPr>
            <w:tcW w:w="3243" w:type="dxa"/>
            <w:noWrap w:val="0"/>
            <w:vAlign w:val="center"/>
          </w:tcPr>
          <w:p>
            <w:pPr>
              <w:overflowPunct w:val="0"/>
              <w:spacing w:line="290" w:lineRule="exact"/>
              <w:contextualSpacing/>
              <w:rPr>
                <w:rFonts w:hint="eastAsia" w:ascii="仿宋_GB2312"/>
                <w:sz w:val="24"/>
                <w:szCs w:val="24"/>
              </w:rPr>
            </w:pPr>
            <w:r>
              <w:rPr>
                <w:rFonts w:hint="eastAsia" w:ascii="仿宋_GB2312"/>
                <w:sz w:val="24"/>
                <w:szCs w:val="24"/>
                <w:lang w:bidi="ar"/>
              </w:rPr>
              <w:t>评价机构及项目负责人在评价报告中出现评价内容缺失、评价范围不满足《危险货物港口作业安全评价导则》要求等，每次扣10分，扣完为止。</w:t>
            </w:r>
          </w:p>
        </w:tc>
        <w:tc>
          <w:tcPr>
            <w:tcW w:w="1332"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7</w:t>
            </w:r>
          </w:p>
        </w:tc>
        <w:tc>
          <w:tcPr>
            <w:tcW w:w="745"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lang w:bidi="ar"/>
              </w:rPr>
              <w:t>验收、危货作业评价从业信用</w:t>
            </w:r>
          </w:p>
        </w:tc>
        <w:tc>
          <w:tcPr>
            <w:tcW w:w="895" w:type="dxa"/>
            <w:vMerge w:val="restart"/>
            <w:noWrap w:val="0"/>
            <w:vAlign w:val="center"/>
          </w:tcPr>
          <w:p>
            <w:pPr>
              <w:overflowPunct w:val="0"/>
              <w:contextualSpacing/>
              <w:jc w:val="center"/>
              <w:rPr>
                <w:rFonts w:hint="eastAsia" w:ascii="仿宋_GB2312"/>
                <w:sz w:val="24"/>
                <w:szCs w:val="24"/>
              </w:rPr>
            </w:pPr>
            <w:r>
              <w:rPr>
                <w:rFonts w:hint="eastAsia" w:ascii="仿宋_GB2312"/>
                <w:sz w:val="24"/>
                <w:szCs w:val="24"/>
                <w:lang w:bidi="ar"/>
              </w:rPr>
              <w:t>400</w:t>
            </w:r>
          </w:p>
        </w:tc>
        <w:tc>
          <w:tcPr>
            <w:tcW w:w="1132" w:type="dxa"/>
            <w:noWrap w:val="0"/>
            <w:vAlign w:val="center"/>
          </w:tcPr>
          <w:p>
            <w:pPr>
              <w:overflowPunct w:val="0"/>
              <w:contextualSpacing/>
              <w:rPr>
                <w:rFonts w:hint="eastAsia" w:ascii="仿宋_GB2312"/>
                <w:sz w:val="24"/>
                <w:szCs w:val="24"/>
              </w:rPr>
            </w:pPr>
            <w:r>
              <w:rPr>
                <w:rFonts w:hint="eastAsia" w:ascii="仿宋_GB2312"/>
                <w:sz w:val="24"/>
                <w:szCs w:val="24"/>
                <w:lang w:bidi="ar"/>
              </w:rPr>
              <w:t>危险因素辨识与分析全面准确性</w:t>
            </w:r>
          </w:p>
        </w:tc>
        <w:tc>
          <w:tcPr>
            <w:tcW w:w="86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50</w:t>
            </w:r>
          </w:p>
        </w:tc>
        <w:tc>
          <w:tcPr>
            <w:tcW w:w="3243" w:type="dxa"/>
            <w:noWrap w:val="0"/>
            <w:vAlign w:val="center"/>
          </w:tcPr>
          <w:p>
            <w:pPr>
              <w:overflowPunct w:val="0"/>
              <w:contextualSpacing/>
              <w:rPr>
                <w:rFonts w:hint="eastAsia" w:ascii="仿宋_GB2312"/>
                <w:sz w:val="24"/>
                <w:szCs w:val="24"/>
              </w:rPr>
            </w:pPr>
            <w:r>
              <w:rPr>
                <w:rFonts w:hint="eastAsia" w:ascii="仿宋_GB2312"/>
                <w:sz w:val="24"/>
                <w:szCs w:val="24"/>
                <w:lang w:bidi="ar"/>
              </w:rPr>
              <w:t>危险因素辨识与分析的内容应包括危险货物港口作业安全特点、装卸货种的危险特性分析、作业过程危险因素辨识与分析、作业过程危险因素存在部位和重大危险源辨识。评价机构及项目负责人出具的评价报告中缺少一项内容扣10分，扣完为止。</w:t>
            </w:r>
          </w:p>
        </w:tc>
        <w:tc>
          <w:tcPr>
            <w:tcW w:w="1332"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8</w:t>
            </w:r>
          </w:p>
        </w:tc>
        <w:tc>
          <w:tcPr>
            <w:tcW w:w="74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132" w:type="dxa"/>
            <w:noWrap w:val="0"/>
            <w:vAlign w:val="center"/>
          </w:tcPr>
          <w:p>
            <w:pPr>
              <w:overflowPunct w:val="0"/>
              <w:contextualSpacing/>
              <w:rPr>
                <w:rFonts w:hint="eastAsia" w:ascii="仿宋_GB2312"/>
                <w:sz w:val="24"/>
                <w:szCs w:val="24"/>
              </w:rPr>
            </w:pPr>
            <w:r>
              <w:rPr>
                <w:rFonts w:hint="eastAsia" w:ascii="仿宋_GB2312"/>
                <w:sz w:val="24"/>
                <w:szCs w:val="24"/>
                <w:lang w:bidi="ar"/>
              </w:rPr>
              <w:t>危险货物港口作业风险评价合理性</w:t>
            </w:r>
          </w:p>
        </w:tc>
        <w:tc>
          <w:tcPr>
            <w:tcW w:w="86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100</w:t>
            </w:r>
          </w:p>
        </w:tc>
        <w:tc>
          <w:tcPr>
            <w:tcW w:w="3243" w:type="dxa"/>
            <w:noWrap w:val="0"/>
            <w:vAlign w:val="center"/>
          </w:tcPr>
          <w:p>
            <w:pPr>
              <w:overflowPunct w:val="0"/>
              <w:contextualSpacing/>
              <w:rPr>
                <w:rFonts w:hint="eastAsia" w:ascii="仿宋_GB2312"/>
                <w:sz w:val="24"/>
                <w:szCs w:val="24"/>
              </w:rPr>
            </w:pPr>
            <w:r>
              <w:rPr>
                <w:rFonts w:hint="eastAsia" w:ascii="仿宋_GB2312"/>
                <w:sz w:val="24"/>
                <w:szCs w:val="24"/>
                <w:lang w:bidi="ar"/>
              </w:rPr>
              <w:t>评价机构及项目负责人出具的评价报告中针对危险货物港口作业事故发生可能性及其严重程度分析计算明显不合理的，扣50分；构成一级重大危险源的储存设施或场所，未采用定量风险评价方法进行安全评估，确定个人和社会风险值的，扣50分。</w:t>
            </w:r>
          </w:p>
        </w:tc>
        <w:tc>
          <w:tcPr>
            <w:tcW w:w="1332"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9</w:t>
            </w:r>
          </w:p>
        </w:tc>
        <w:tc>
          <w:tcPr>
            <w:tcW w:w="745" w:type="dxa"/>
            <w:vMerge w:val="continue"/>
            <w:noWrap w:val="0"/>
            <w:vAlign w:val="center"/>
          </w:tcPr>
          <w:p>
            <w:pPr>
              <w:overflowPunct w:val="0"/>
              <w:contextualSpacing/>
              <w:jc w:val="center"/>
              <w:rPr>
                <w:rFonts w:hint="eastAsia" w:ascii="仿宋_GB2312"/>
                <w:sz w:val="24"/>
                <w:szCs w:val="24"/>
              </w:rPr>
            </w:pPr>
          </w:p>
        </w:tc>
        <w:tc>
          <w:tcPr>
            <w:tcW w:w="895" w:type="dxa"/>
            <w:vMerge w:val="continue"/>
            <w:noWrap w:val="0"/>
            <w:vAlign w:val="center"/>
          </w:tcPr>
          <w:p>
            <w:pPr>
              <w:overflowPunct w:val="0"/>
              <w:contextualSpacing/>
              <w:jc w:val="center"/>
              <w:rPr>
                <w:rFonts w:hint="eastAsia" w:ascii="仿宋_GB2312"/>
                <w:sz w:val="24"/>
                <w:szCs w:val="24"/>
              </w:rPr>
            </w:pPr>
          </w:p>
        </w:tc>
        <w:tc>
          <w:tcPr>
            <w:tcW w:w="1132" w:type="dxa"/>
            <w:noWrap w:val="0"/>
            <w:vAlign w:val="center"/>
          </w:tcPr>
          <w:p>
            <w:pPr>
              <w:overflowPunct w:val="0"/>
              <w:contextualSpacing/>
              <w:rPr>
                <w:rFonts w:hint="eastAsia" w:ascii="仿宋_GB2312"/>
                <w:sz w:val="24"/>
                <w:szCs w:val="24"/>
              </w:rPr>
            </w:pPr>
            <w:r>
              <w:rPr>
                <w:rFonts w:hint="eastAsia" w:ascii="仿宋_GB2312"/>
                <w:sz w:val="24"/>
                <w:szCs w:val="24"/>
                <w:lang w:bidi="ar"/>
              </w:rPr>
              <w:t>评价结论准确性和可靠性</w:t>
            </w:r>
          </w:p>
        </w:tc>
        <w:tc>
          <w:tcPr>
            <w:tcW w:w="86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100</w:t>
            </w:r>
          </w:p>
        </w:tc>
        <w:tc>
          <w:tcPr>
            <w:tcW w:w="3243" w:type="dxa"/>
            <w:noWrap w:val="0"/>
            <w:vAlign w:val="center"/>
          </w:tcPr>
          <w:p>
            <w:pPr>
              <w:overflowPunct w:val="0"/>
              <w:contextualSpacing/>
              <w:rPr>
                <w:rFonts w:hint="eastAsia" w:ascii="仿宋_GB2312"/>
                <w:sz w:val="24"/>
                <w:szCs w:val="24"/>
              </w:rPr>
            </w:pPr>
            <w:r>
              <w:rPr>
                <w:rFonts w:hint="eastAsia" w:ascii="仿宋_GB2312"/>
                <w:sz w:val="24"/>
                <w:szCs w:val="24"/>
                <w:lang w:bidi="ar"/>
              </w:rPr>
              <w:t>评价机构及项目负责人出具的评价报告中在评价结论中未明确评价对象运营期间存在的危险因素、重大危险源和事故隐患的，扣40分；评价结论未包含符合性评价结果的，扣20分；评价结论未明确判断评价对象是否满足危险货物港口作业的安全生产条件，扣20分；评价结论中出现“原则上”等描述，导致结论含糊不清的，扣20分。</w:t>
            </w:r>
          </w:p>
        </w:tc>
        <w:tc>
          <w:tcPr>
            <w:tcW w:w="1332"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数据对接或手工录入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629" w:type="dxa"/>
            <w:noWrap w:val="0"/>
            <w:vAlign w:val="center"/>
          </w:tcPr>
          <w:p>
            <w:pPr>
              <w:overflowPunct w:val="0"/>
              <w:contextualSpacing/>
              <w:jc w:val="center"/>
              <w:rPr>
                <w:rFonts w:hint="eastAsia" w:ascii="仿宋_GB2312"/>
                <w:sz w:val="24"/>
                <w:szCs w:val="24"/>
              </w:rPr>
            </w:pPr>
            <w:r>
              <w:rPr>
                <w:rFonts w:hint="eastAsia" w:ascii="仿宋_GB2312"/>
                <w:sz w:val="24"/>
                <w:szCs w:val="24"/>
                <w:lang w:bidi="ar"/>
              </w:rPr>
              <w:t>10</w:t>
            </w:r>
          </w:p>
        </w:tc>
        <w:tc>
          <w:tcPr>
            <w:tcW w:w="745"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公共信用</w:t>
            </w:r>
          </w:p>
        </w:tc>
        <w:tc>
          <w:tcPr>
            <w:tcW w:w="895"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100</w:t>
            </w:r>
          </w:p>
        </w:tc>
        <w:tc>
          <w:tcPr>
            <w:tcW w:w="1132"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w:t>
            </w:r>
          </w:p>
        </w:tc>
        <w:tc>
          <w:tcPr>
            <w:tcW w:w="869"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w:t>
            </w:r>
          </w:p>
        </w:tc>
        <w:tc>
          <w:tcPr>
            <w:tcW w:w="3243" w:type="dxa"/>
            <w:noWrap w:val="0"/>
            <w:vAlign w:val="center"/>
          </w:tcPr>
          <w:p>
            <w:pPr>
              <w:overflowPunct w:val="0"/>
              <w:contextualSpacing/>
              <w:rPr>
                <w:rFonts w:hint="eastAsia" w:ascii="仿宋_GB2312"/>
                <w:sz w:val="24"/>
                <w:szCs w:val="24"/>
              </w:rPr>
            </w:pPr>
            <w:r>
              <w:rPr>
                <w:rFonts w:hint="eastAsia" w:ascii="仿宋_GB2312"/>
                <w:bCs/>
                <w:sz w:val="24"/>
                <w:szCs w:val="24"/>
                <w:lang w:bidi="ar"/>
              </w:rPr>
              <w:t>根据省信用办提供的企业公共信用分值按比例进行换算。</w:t>
            </w:r>
          </w:p>
        </w:tc>
        <w:tc>
          <w:tcPr>
            <w:tcW w:w="1332"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7513" w:type="dxa"/>
            <w:gridSpan w:val="6"/>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val="0"/>
              <w:autoSpaceDE w:val="0"/>
              <w:contextualSpacing/>
              <w:rPr>
                <w:rFonts w:hint="eastAsia" w:ascii="仿宋_GB2312"/>
                <w:sz w:val="24"/>
                <w:szCs w:val="24"/>
              </w:rPr>
            </w:pPr>
            <w:r>
              <w:rPr>
                <w:rFonts w:hint="eastAsia" w:ascii="仿宋_GB2312"/>
                <w:bCs/>
                <w:sz w:val="24"/>
                <w:szCs w:val="24"/>
                <w:lang w:val="zh-CN" w:bidi="ar"/>
              </w:rPr>
              <w:t>凡发生《浙江省港口经营及其相关业务经营者信用管理实施细则》第二部分（三）中严重不良信息行为之一的，本年度信用分扣500分。</w:t>
            </w:r>
          </w:p>
        </w:tc>
        <w:tc>
          <w:tcPr>
            <w:tcW w:w="1332" w:type="dxa"/>
            <w:noWrap w:val="0"/>
            <w:vAlign w:val="center"/>
          </w:tcPr>
          <w:p>
            <w:pPr>
              <w:overflowPunct w:val="0"/>
              <w:contextualSpacing/>
              <w:jc w:val="center"/>
              <w:rPr>
                <w:rFonts w:hint="eastAsia" w:ascii="仿宋_GB2312"/>
                <w:sz w:val="24"/>
                <w:szCs w:val="24"/>
              </w:rPr>
            </w:pPr>
            <w:r>
              <w:rPr>
                <w:rFonts w:hint="eastAsia" w:ascii="仿宋_GB2312"/>
                <w:bCs/>
                <w:sz w:val="24"/>
                <w:szCs w:val="24"/>
                <w:lang w:bidi="ar"/>
              </w:rPr>
              <w:t>数据对接或</w:t>
            </w:r>
            <w:r>
              <w:rPr>
                <w:rFonts w:hint="eastAsia" w:ascii="仿宋_GB2312"/>
                <w:sz w:val="24"/>
                <w:szCs w:val="24"/>
                <w:lang w:bidi="ar"/>
              </w:rPr>
              <w:t>手工录入</w:t>
            </w:r>
          </w:p>
        </w:tc>
      </w:tr>
    </w:tbl>
    <w:p>
      <w:pPr>
        <w:overflowPunct w:val="0"/>
        <w:spacing w:line="590" w:lineRule="exact"/>
        <w:ind w:firstLine="640" w:firstLineChars="200"/>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424C5"/>
    <w:rsid w:val="0184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2021-04-15T00:40:00Z</dcterms:created>
  <dc:creator>dell</dc:creator>
  <cp:lastModifiedBy>dell</cp:lastModifiedBy>
  <dcterms:modified xsi:type="dcterms:W3CDTF">2021-04-15T00:41:10Z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675B2A9C066B4F388998C041636DE609</vt:lpwstr>
  </property>
</Properties>
</file>